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F07F0" w14:textId="77777777" w:rsidR="005270C2" w:rsidRDefault="005270C2" w:rsidP="003722BC">
      <w:pPr>
        <w:jc w:val="center"/>
        <w:rPr>
          <w:b/>
          <w:bCs/>
        </w:rPr>
      </w:pPr>
      <w:bookmarkStart w:id="0" w:name="_GoBack"/>
      <w:bookmarkEnd w:id="0"/>
    </w:p>
    <w:p w14:paraId="03C038E4" w14:textId="77777777" w:rsidR="00801619" w:rsidRDefault="00801619" w:rsidP="008016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Cs w:val="20"/>
        </w:rPr>
      </w:pPr>
      <w:r w:rsidRPr="00713568">
        <w:rPr>
          <w:b/>
          <w:szCs w:val="20"/>
        </w:rPr>
        <w:t>STATE OF CONNECTICUT</w:t>
      </w:r>
    </w:p>
    <w:p w14:paraId="22F4563E" w14:textId="77777777" w:rsidR="00902418" w:rsidRPr="00713568" w:rsidRDefault="00902418" w:rsidP="008016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Cs w:val="20"/>
        </w:rPr>
      </w:pPr>
    </w:p>
    <w:p w14:paraId="005326DF" w14:textId="77777777" w:rsidR="00801619" w:rsidRPr="00713568" w:rsidRDefault="00801619" w:rsidP="008016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Cs w:val="20"/>
        </w:rPr>
      </w:pPr>
      <w:r w:rsidRPr="00713568">
        <w:rPr>
          <w:b/>
          <w:szCs w:val="20"/>
        </w:rPr>
        <w:t>PUBLIC UTILITIES REGULATORY AUTHORITY</w:t>
      </w:r>
    </w:p>
    <w:p w14:paraId="1106FAA7" w14:textId="77777777" w:rsidR="00801619" w:rsidRPr="00BD3788" w:rsidRDefault="00801619" w:rsidP="0080161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Cs w:val="20"/>
        </w:rPr>
      </w:pPr>
    </w:p>
    <w:p w14:paraId="53CA90A4" w14:textId="77777777" w:rsidR="00305851" w:rsidRDefault="00305851" w:rsidP="003722BC">
      <w:pPr>
        <w:pStyle w:val="Title"/>
      </w:pPr>
    </w:p>
    <w:p w14:paraId="1D1BBFB9" w14:textId="77777777" w:rsidR="001A3232" w:rsidRDefault="001A3232"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hanging="5040"/>
      </w:pPr>
    </w:p>
    <w:p w14:paraId="4C96E796" w14:textId="77777777" w:rsidR="001A3232" w:rsidRDefault="001A3232"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040" w:hanging="5040"/>
      </w:pPr>
    </w:p>
    <w:p w14:paraId="543F34FD" w14:textId="77777777" w:rsidR="00264586" w:rsidRDefault="00264586" w:rsidP="0026458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0"/>
        </w:rPr>
      </w:pPr>
      <w:r w:rsidRPr="00BD3788">
        <w:rPr>
          <w:szCs w:val="20"/>
        </w:rPr>
        <w:t xml:space="preserve">PURA </w:t>
      </w:r>
      <w:r>
        <w:rPr>
          <w:szCs w:val="20"/>
        </w:rPr>
        <w:t xml:space="preserve">Establishment of Rules for Electric </w:t>
      </w:r>
      <w:r>
        <w:rPr>
          <w:szCs w:val="20"/>
        </w:rPr>
        <w:tab/>
      </w:r>
      <w:r>
        <w:rPr>
          <w:szCs w:val="20"/>
        </w:rPr>
        <w:tab/>
        <w:t>)</w:t>
      </w:r>
    </w:p>
    <w:p w14:paraId="17E0C367" w14:textId="77777777" w:rsidR="00264586" w:rsidRDefault="00264586" w:rsidP="0026458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0"/>
        </w:rPr>
      </w:pPr>
      <w:r>
        <w:rPr>
          <w:szCs w:val="20"/>
        </w:rPr>
        <w:t xml:space="preserve">Suppliers and EDCs Concerning Operations and </w:t>
      </w:r>
      <w:r>
        <w:rPr>
          <w:szCs w:val="20"/>
        </w:rPr>
        <w:tab/>
        <w:t>)</w:t>
      </w:r>
      <w:r w:rsidR="00713568">
        <w:rPr>
          <w:szCs w:val="20"/>
        </w:rPr>
        <w:tab/>
        <w:t>Docket No. 13-07-18</w:t>
      </w:r>
    </w:p>
    <w:p w14:paraId="24B4F2B4" w14:textId="77777777" w:rsidR="00264586" w:rsidRDefault="00264586" w:rsidP="0026458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0"/>
        </w:rPr>
      </w:pPr>
      <w:r>
        <w:rPr>
          <w:szCs w:val="20"/>
        </w:rPr>
        <w:t>Marketing in the Electric Retail Market</w:t>
      </w:r>
      <w:r>
        <w:rPr>
          <w:szCs w:val="20"/>
        </w:rPr>
        <w:tab/>
      </w:r>
      <w:r>
        <w:rPr>
          <w:szCs w:val="20"/>
        </w:rPr>
        <w:tab/>
        <w:t xml:space="preserve">) </w:t>
      </w:r>
    </w:p>
    <w:p w14:paraId="4CCFA447" w14:textId="77777777" w:rsidR="00025F3E" w:rsidRDefault="00713568" w:rsidP="002F6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pPr>
      <w:r>
        <w:rPr>
          <w:szCs w:val="20"/>
        </w:rPr>
        <w:t xml:space="preserve"> </w:t>
      </w:r>
    </w:p>
    <w:p w14:paraId="54DE1D2C" w14:textId="77777777" w:rsidR="003722BC" w:rsidRDefault="00765D97" w:rsidP="00025F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w:t>
      </w:r>
    </w:p>
    <w:p w14:paraId="6811F19B" w14:textId="77777777" w:rsidR="003722BC" w:rsidRDefault="003722BC" w:rsidP="003722BC">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136EB23C" w14:textId="77777777" w:rsidR="003722BC" w:rsidRDefault="003722BC"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18B862FE" w14:textId="77777777" w:rsidR="003444E3" w:rsidRDefault="003722BC"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t xml:space="preserve">TESTIMONY </w:t>
      </w:r>
      <w:r w:rsidR="000A11D2">
        <w:rPr>
          <w:b/>
          <w:bCs/>
        </w:rPr>
        <w:t xml:space="preserve">AND EXHIBITS </w:t>
      </w:r>
      <w:r>
        <w:rPr>
          <w:b/>
          <w:bCs/>
        </w:rPr>
        <w:t xml:space="preserve">OF </w:t>
      </w:r>
    </w:p>
    <w:p w14:paraId="74BA70C7" w14:textId="77777777" w:rsidR="003722BC" w:rsidRDefault="003722BC"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t>SUSAN M. BALDWIN</w:t>
      </w:r>
      <w:r w:rsidR="003444E3">
        <w:rPr>
          <w:b/>
          <w:bCs/>
        </w:rPr>
        <w:t xml:space="preserve"> AND HELEN E. GOLDING</w:t>
      </w:r>
    </w:p>
    <w:p w14:paraId="2F857F93" w14:textId="77777777" w:rsidR="005D7B0B" w:rsidRDefault="00713568" w:rsidP="005D7B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t>ON BEHALF OF THE CONNECTI</w:t>
      </w:r>
      <w:r w:rsidR="00662941">
        <w:rPr>
          <w:b/>
          <w:bCs/>
        </w:rPr>
        <w:t>CUT OFFICE OF CONSUMER COUNSEL</w:t>
      </w:r>
    </w:p>
    <w:p w14:paraId="2F7BF8DB" w14:textId="77777777" w:rsidR="00BC7FC2" w:rsidRDefault="00BC7FC2" w:rsidP="003722BC">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4206A3DA" w14:textId="77777777" w:rsidR="00BC7FC2" w:rsidRDefault="00BC7FC2"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13C8C82D" w14:textId="77777777" w:rsidR="00BC7FC2" w:rsidRDefault="00BC7FC2"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18B421FE" w14:textId="77777777" w:rsidR="003023B2" w:rsidRDefault="003023B2"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5188D73A" w14:textId="77777777" w:rsidR="003023B2" w:rsidRDefault="003023B2"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09B5B0A1" w14:textId="77777777" w:rsidR="002B76F9" w:rsidRDefault="002B76F9"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1A45BAD3" w14:textId="77777777" w:rsidR="002B76F9" w:rsidRDefault="002B76F9"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001CFC2F" w14:textId="77777777" w:rsidR="002B76F9" w:rsidRDefault="002B76F9"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73034E25" w14:textId="77777777" w:rsidR="001426DD" w:rsidRDefault="001426DD"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60D9CEB0" w14:textId="77777777" w:rsidR="001426DD" w:rsidRDefault="001426DD"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1EDB17B9" w14:textId="77777777" w:rsidR="001426DD" w:rsidRDefault="001426DD"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5629C941" w14:textId="77777777" w:rsidR="001426DD" w:rsidRDefault="001426DD"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1C1AB388" w14:textId="77777777" w:rsidR="001426DD" w:rsidRDefault="001426DD"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476637FB" w14:textId="77777777" w:rsidR="003722BC" w:rsidRDefault="003722BC"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p>
    <w:p w14:paraId="377E6E47" w14:textId="77777777" w:rsidR="00233C12" w:rsidRDefault="003722BC" w:rsidP="00372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Pr>
          <w:b/>
          <w:bCs/>
        </w:rPr>
        <w:tab/>
      </w:r>
      <w:r>
        <w:rPr>
          <w:b/>
          <w:bCs/>
        </w:rPr>
        <w:tab/>
      </w:r>
      <w:r>
        <w:rPr>
          <w:b/>
          <w:bCs/>
        </w:rPr>
        <w:tab/>
      </w:r>
      <w:r>
        <w:rPr>
          <w:b/>
          <w:bCs/>
        </w:rPr>
        <w:tab/>
      </w:r>
      <w:r>
        <w:rPr>
          <w:b/>
          <w:bCs/>
        </w:rPr>
        <w:tab/>
      </w:r>
      <w:r>
        <w:rPr>
          <w:b/>
          <w:bCs/>
        </w:rPr>
        <w:tab/>
      </w:r>
      <w:r>
        <w:rPr>
          <w:b/>
          <w:bCs/>
        </w:rPr>
        <w:tab/>
      </w:r>
      <w:r>
        <w:rPr>
          <w:b/>
          <w:bCs/>
        </w:rPr>
        <w:tab/>
      </w:r>
    </w:p>
    <w:p w14:paraId="08596852" w14:textId="77777777" w:rsidR="00F825BD" w:rsidRDefault="000829DA" w:rsidP="00F825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rPr>
        <w:tab/>
      </w:r>
      <w:r>
        <w:rPr>
          <w:b/>
          <w:bCs/>
        </w:rPr>
        <w:tab/>
      </w:r>
      <w:r>
        <w:rPr>
          <w:b/>
          <w:bCs/>
        </w:rPr>
        <w:tab/>
      </w:r>
      <w:r>
        <w:rPr>
          <w:b/>
          <w:bCs/>
        </w:rPr>
        <w:tab/>
      </w:r>
      <w:r>
        <w:rPr>
          <w:b/>
          <w:bCs/>
        </w:rPr>
        <w:tab/>
      </w:r>
      <w:r>
        <w:rPr>
          <w:b/>
          <w:bCs/>
        </w:rPr>
        <w:tab/>
      </w:r>
      <w:r>
        <w:rPr>
          <w:b/>
          <w:bCs/>
        </w:rPr>
        <w:tab/>
      </w:r>
    </w:p>
    <w:p w14:paraId="6903D30D" w14:textId="77777777" w:rsidR="000829DA" w:rsidRDefault="000829DA" w:rsidP="0008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2C47B94" w14:textId="77777777" w:rsidR="002F6A6B" w:rsidRDefault="000829DA" w:rsidP="002F6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r>
      <w:r>
        <w:tab/>
      </w:r>
      <w:r>
        <w:tab/>
      </w:r>
      <w:r>
        <w:tab/>
      </w:r>
      <w:r>
        <w:tab/>
      </w:r>
      <w:r>
        <w:tab/>
      </w:r>
      <w:r>
        <w:tab/>
      </w:r>
    </w:p>
    <w:p w14:paraId="56C5BF25" w14:textId="77777777" w:rsidR="003722BC" w:rsidRDefault="003722BC" w:rsidP="0008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450C8">
        <w:t xml:space="preserve">Filed: </w:t>
      </w:r>
      <w:r w:rsidR="003444E3" w:rsidRPr="008450C8">
        <w:t xml:space="preserve">March </w:t>
      </w:r>
      <w:r w:rsidR="008450C8" w:rsidRPr="008450C8">
        <w:t>10</w:t>
      </w:r>
      <w:r w:rsidR="00713568" w:rsidRPr="008450C8">
        <w:t>, 2014</w:t>
      </w:r>
    </w:p>
    <w:p w14:paraId="7B42DB3C" w14:textId="77777777" w:rsidR="00A74682" w:rsidRDefault="00A74682" w:rsidP="00A74682">
      <w:pPr>
        <w:pStyle w:val="Default"/>
      </w:pPr>
    </w:p>
    <w:p w14:paraId="4EE1831C" w14:textId="77777777" w:rsidR="00A74682" w:rsidRDefault="00A74682" w:rsidP="00A74682">
      <w:pPr>
        <w:pStyle w:val="Default"/>
        <w:rPr>
          <w:color w:val="auto"/>
        </w:rPr>
      </w:pPr>
    </w:p>
    <w:p w14:paraId="3C6F9BD1" w14:textId="69361BFF" w:rsidR="00411420" w:rsidRDefault="00CE5A83" w:rsidP="00CE5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sz w:val="23"/>
          <w:szCs w:val="23"/>
        </w:rPr>
        <w:t>CONFIDENTIAL INFORMATION</w:t>
      </w:r>
      <w:r w:rsidR="003A5052">
        <w:rPr>
          <w:b/>
          <w:sz w:val="23"/>
          <w:szCs w:val="23"/>
        </w:rPr>
        <w:t xml:space="preserve"> HAS BEEN REDACTED</w:t>
      </w:r>
    </w:p>
    <w:p w14:paraId="20B9882E" w14:textId="77777777" w:rsidR="00411420" w:rsidRDefault="00411420" w:rsidP="00CE5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p w14:paraId="08AA0BBB" w14:textId="77777777" w:rsidR="003722BC" w:rsidRPr="001F0D8A" w:rsidRDefault="003722BC" w:rsidP="00256C66">
      <w:pPr>
        <w:rPr>
          <w:b/>
        </w:rPr>
        <w:sectPr w:rsidR="003722BC" w:rsidRPr="001F0D8A" w:rsidSect="00DC2B0C">
          <w:footerReference w:type="even" r:id="rId9"/>
          <w:footerReference w:type="default" r:id="rId10"/>
          <w:headerReference w:type="first" r:id="rId11"/>
          <w:footerReference w:type="first" r:id="rId12"/>
          <w:pgSz w:w="12240" w:h="15840" w:code="1"/>
          <w:pgMar w:top="1440" w:right="1440" w:bottom="1440" w:left="1440" w:header="1440" w:footer="1440" w:gutter="0"/>
          <w:cols w:space="720"/>
          <w:noEndnote/>
          <w:titlePg/>
        </w:sectPr>
      </w:pPr>
    </w:p>
    <w:p w14:paraId="7E90AF31" w14:textId="77777777" w:rsidR="00FA13DC" w:rsidRDefault="00FA13DC" w:rsidP="00D06D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0F9DD5BA" w14:textId="77777777" w:rsidR="00C5226E" w:rsidRDefault="00641A44" w:rsidP="00641A44">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8640"/>
          <w:tab w:val="right" w:pos="9360"/>
        </w:tabs>
        <w:rPr>
          <w:b/>
        </w:rPr>
      </w:pPr>
      <w:r>
        <w:rPr>
          <w:b/>
        </w:rPr>
        <w:tab/>
      </w:r>
      <w:r>
        <w:rPr>
          <w:b/>
        </w:rPr>
        <w:tab/>
      </w:r>
      <w:r>
        <w:rPr>
          <w:b/>
        </w:rPr>
        <w:tab/>
      </w:r>
      <w:r>
        <w:rPr>
          <w:b/>
        </w:rPr>
        <w:tab/>
      </w:r>
      <w:r>
        <w:rPr>
          <w:b/>
        </w:rPr>
        <w:tab/>
      </w:r>
      <w:r w:rsidR="00411420">
        <w:rPr>
          <w:b/>
        </w:rPr>
        <w:t>TABLE OF CONTENTS</w:t>
      </w:r>
      <w:r>
        <w:rPr>
          <w:b/>
        </w:rPr>
        <w:tab/>
      </w:r>
      <w:r>
        <w:rPr>
          <w:b/>
        </w:rPr>
        <w:tab/>
      </w:r>
      <w:r>
        <w:rPr>
          <w:b/>
        </w:rPr>
        <w:tab/>
      </w:r>
      <w:r>
        <w:rPr>
          <w:b/>
        </w:rPr>
        <w:tab/>
      </w:r>
      <w:r>
        <w:rPr>
          <w:b/>
        </w:rPr>
        <w:tab/>
      </w:r>
    </w:p>
    <w:p w14:paraId="351CFBD7" w14:textId="77777777" w:rsidR="00C5226E" w:rsidRDefault="00C5226E" w:rsidP="00544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480" w:lineRule="auto"/>
        <w:rPr>
          <w:b/>
        </w:rPr>
      </w:pPr>
    </w:p>
    <w:p w14:paraId="33F63495" w14:textId="77777777" w:rsidR="00544281" w:rsidRDefault="00544281" w:rsidP="00544281">
      <w:pPr>
        <w:pStyle w:val="TOC1"/>
        <w:rPr>
          <w:rFonts w:asciiTheme="minorHAnsi" w:eastAsiaTheme="minorEastAsia" w:hAnsiTheme="minorHAnsi" w:cstheme="minorBidi"/>
          <w:noProof/>
          <w:sz w:val="22"/>
          <w:szCs w:val="22"/>
        </w:rPr>
      </w:pPr>
      <w:r>
        <w:rPr>
          <w:b/>
        </w:rPr>
        <w:fldChar w:fldCharType="begin"/>
      </w:r>
      <w:r>
        <w:rPr>
          <w:b/>
        </w:rPr>
        <w:instrText xml:space="preserve"> TOC \o "1-3" \h \z \u </w:instrText>
      </w:r>
      <w:r>
        <w:rPr>
          <w:b/>
        </w:rPr>
        <w:fldChar w:fldCharType="separate"/>
      </w:r>
      <w:hyperlink w:anchor="_Toc382029112" w:history="1">
        <w:r w:rsidRPr="000653E6">
          <w:rPr>
            <w:rStyle w:val="Hyperlink"/>
            <w:b/>
            <w:noProof/>
          </w:rPr>
          <w:t>I.</w:t>
        </w:r>
        <w:r>
          <w:rPr>
            <w:rFonts w:asciiTheme="minorHAnsi" w:eastAsiaTheme="minorEastAsia" w:hAnsiTheme="minorHAnsi" w:cstheme="minorBidi"/>
            <w:noProof/>
            <w:sz w:val="22"/>
            <w:szCs w:val="22"/>
          </w:rPr>
          <w:tab/>
        </w:r>
        <w:r w:rsidRPr="000653E6">
          <w:rPr>
            <w:rStyle w:val="Hyperlink"/>
            <w:b/>
            <w:noProof/>
          </w:rPr>
          <w:t>INTRODUCTION</w:t>
        </w:r>
        <w:r>
          <w:rPr>
            <w:noProof/>
            <w:webHidden/>
          </w:rPr>
          <w:tab/>
        </w:r>
        <w:r>
          <w:rPr>
            <w:noProof/>
            <w:webHidden/>
          </w:rPr>
          <w:fldChar w:fldCharType="begin"/>
        </w:r>
        <w:r>
          <w:rPr>
            <w:noProof/>
            <w:webHidden/>
          </w:rPr>
          <w:instrText xml:space="preserve"> PAGEREF _Toc382029112 \h </w:instrText>
        </w:r>
        <w:r>
          <w:rPr>
            <w:noProof/>
            <w:webHidden/>
          </w:rPr>
        </w:r>
        <w:r>
          <w:rPr>
            <w:noProof/>
            <w:webHidden/>
          </w:rPr>
          <w:fldChar w:fldCharType="separate"/>
        </w:r>
        <w:r w:rsidR="00902418">
          <w:rPr>
            <w:noProof/>
            <w:webHidden/>
          </w:rPr>
          <w:t>1</w:t>
        </w:r>
        <w:r>
          <w:rPr>
            <w:noProof/>
            <w:webHidden/>
          </w:rPr>
          <w:fldChar w:fldCharType="end"/>
        </w:r>
      </w:hyperlink>
    </w:p>
    <w:p w14:paraId="074C0AEE"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13" w:history="1">
        <w:r w:rsidR="00544281" w:rsidRPr="000653E6">
          <w:rPr>
            <w:rStyle w:val="Hyperlink"/>
            <w:b/>
            <w:noProof/>
          </w:rPr>
          <w:t>Qualifications</w:t>
        </w:r>
        <w:r w:rsidR="00544281">
          <w:rPr>
            <w:noProof/>
            <w:webHidden/>
          </w:rPr>
          <w:tab/>
        </w:r>
        <w:r w:rsidR="00544281">
          <w:rPr>
            <w:noProof/>
            <w:webHidden/>
          </w:rPr>
          <w:fldChar w:fldCharType="begin"/>
        </w:r>
        <w:r w:rsidR="00544281">
          <w:rPr>
            <w:noProof/>
            <w:webHidden/>
          </w:rPr>
          <w:instrText xml:space="preserve"> PAGEREF _Toc382029113 \h </w:instrText>
        </w:r>
        <w:r w:rsidR="00544281">
          <w:rPr>
            <w:noProof/>
            <w:webHidden/>
          </w:rPr>
        </w:r>
        <w:r w:rsidR="00544281">
          <w:rPr>
            <w:noProof/>
            <w:webHidden/>
          </w:rPr>
          <w:fldChar w:fldCharType="separate"/>
        </w:r>
        <w:r w:rsidR="00902418">
          <w:rPr>
            <w:noProof/>
            <w:webHidden/>
          </w:rPr>
          <w:t>1</w:t>
        </w:r>
        <w:r w:rsidR="00544281">
          <w:rPr>
            <w:noProof/>
            <w:webHidden/>
          </w:rPr>
          <w:fldChar w:fldCharType="end"/>
        </w:r>
      </w:hyperlink>
    </w:p>
    <w:p w14:paraId="0B4BF4ED"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14" w:history="1">
        <w:r w:rsidR="00544281" w:rsidRPr="000653E6">
          <w:rPr>
            <w:rStyle w:val="Hyperlink"/>
            <w:b/>
            <w:noProof/>
          </w:rPr>
          <w:t>Assignment</w:t>
        </w:r>
        <w:r w:rsidR="00544281">
          <w:rPr>
            <w:noProof/>
            <w:webHidden/>
          </w:rPr>
          <w:tab/>
        </w:r>
        <w:r w:rsidR="00544281">
          <w:rPr>
            <w:noProof/>
            <w:webHidden/>
          </w:rPr>
          <w:fldChar w:fldCharType="begin"/>
        </w:r>
        <w:r w:rsidR="00544281">
          <w:rPr>
            <w:noProof/>
            <w:webHidden/>
          </w:rPr>
          <w:instrText xml:space="preserve"> PAGEREF _Toc382029114 \h </w:instrText>
        </w:r>
        <w:r w:rsidR="00544281">
          <w:rPr>
            <w:noProof/>
            <w:webHidden/>
          </w:rPr>
        </w:r>
        <w:r w:rsidR="00544281">
          <w:rPr>
            <w:noProof/>
            <w:webHidden/>
          </w:rPr>
          <w:fldChar w:fldCharType="separate"/>
        </w:r>
        <w:r w:rsidR="00902418">
          <w:rPr>
            <w:noProof/>
            <w:webHidden/>
          </w:rPr>
          <w:t>3</w:t>
        </w:r>
        <w:r w:rsidR="00544281">
          <w:rPr>
            <w:noProof/>
            <w:webHidden/>
          </w:rPr>
          <w:fldChar w:fldCharType="end"/>
        </w:r>
      </w:hyperlink>
    </w:p>
    <w:p w14:paraId="7BFFDEDE"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15" w:history="1">
        <w:r w:rsidR="00544281" w:rsidRPr="000653E6">
          <w:rPr>
            <w:rStyle w:val="Hyperlink"/>
            <w:b/>
            <w:noProof/>
          </w:rPr>
          <w:t>Summary of Testimony</w:t>
        </w:r>
        <w:r w:rsidR="00544281">
          <w:rPr>
            <w:noProof/>
            <w:webHidden/>
          </w:rPr>
          <w:tab/>
        </w:r>
        <w:r w:rsidR="00544281">
          <w:rPr>
            <w:noProof/>
            <w:webHidden/>
          </w:rPr>
          <w:fldChar w:fldCharType="begin"/>
        </w:r>
        <w:r w:rsidR="00544281">
          <w:rPr>
            <w:noProof/>
            <w:webHidden/>
          </w:rPr>
          <w:instrText xml:space="preserve"> PAGEREF _Toc382029115 \h </w:instrText>
        </w:r>
        <w:r w:rsidR="00544281">
          <w:rPr>
            <w:noProof/>
            <w:webHidden/>
          </w:rPr>
        </w:r>
        <w:r w:rsidR="00544281">
          <w:rPr>
            <w:noProof/>
            <w:webHidden/>
          </w:rPr>
          <w:fldChar w:fldCharType="separate"/>
        </w:r>
        <w:r w:rsidR="00902418">
          <w:rPr>
            <w:noProof/>
            <w:webHidden/>
          </w:rPr>
          <w:t>3</w:t>
        </w:r>
        <w:r w:rsidR="00544281">
          <w:rPr>
            <w:noProof/>
            <w:webHidden/>
          </w:rPr>
          <w:fldChar w:fldCharType="end"/>
        </w:r>
      </w:hyperlink>
    </w:p>
    <w:p w14:paraId="2215E263" w14:textId="77777777" w:rsidR="00544281" w:rsidRDefault="00AE79F4" w:rsidP="00544281">
      <w:pPr>
        <w:pStyle w:val="TOC1"/>
        <w:rPr>
          <w:rFonts w:asciiTheme="minorHAnsi" w:eastAsiaTheme="minorEastAsia" w:hAnsiTheme="minorHAnsi" w:cstheme="minorBidi"/>
          <w:noProof/>
          <w:sz w:val="22"/>
          <w:szCs w:val="22"/>
        </w:rPr>
      </w:pPr>
      <w:hyperlink w:anchor="_Toc382029116" w:history="1">
        <w:r w:rsidR="00544281" w:rsidRPr="000653E6">
          <w:rPr>
            <w:rStyle w:val="Hyperlink"/>
            <w:b/>
            <w:noProof/>
          </w:rPr>
          <w:t>II.</w:t>
        </w:r>
        <w:r w:rsidR="00544281">
          <w:rPr>
            <w:rFonts w:asciiTheme="minorHAnsi" w:eastAsiaTheme="minorEastAsia" w:hAnsiTheme="minorHAnsi" w:cstheme="minorBidi"/>
            <w:noProof/>
            <w:sz w:val="22"/>
            <w:szCs w:val="22"/>
          </w:rPr>
          <w:tab/>
        </w:r>
        <w:r w:rsidR="00544281" w:rsidRPr="000653E6">
          <w:rPr>
            <w:rStyle w:val="Hyperlink"/>
            <w:b/>
            <w:noProof/>
          </w:rPr>
          <w:t>STATUTORY AND REGULATORY BACKGROUND</w:t>
        </w:r>
        <w:r w:rsidR="00544281">
          <w:rPr>
            <w:noProof/>
            <w:webHidden/>
          </w:rPr>
          <w:tab/>
        </w:r>
        <w:r w:rsidR="00544281">
          <w:rPr>
            <w:noProof/>
            <w:webHidden/>
          </w:rPr>
          <w:fldChar w:fldCharType="begin"/>
        </w:r>
        <w:r w:rsidR="00544281">
          <w:rPr>
            <w:noProof/>
            <w:webHidden/>
          </w:rPr>
          <w:instrText xml:space="preserve"> PAGEREF _Toc382029116 \h </w:instrText>
        </w:r>
        <w:r w:rsidR="00544281">
          <w:rPr>
            <w:noProof/>
            <w:webHidden/>
          </w:rPr>
        </w:r>
        <w:r w:rsidR="00544281">
          <w:rPr>
            <w:noProof/>
            <w:webHidden/>
          </w:rPr>
          <w:fldChar w:fldCharType="separate"/>
        </w:r>
        <w:r w:rsidR="00902418">
          <w:rPr>
            <w:noProof/>
            <w:webHidden/>
          </w:rPr>
          <w:t>8</w:t>
        </w:r>
        <w:r w:rsidR="00544281">
          <w:rPr>
            <w:noProof/>
            <w:webHidden/>
          </w:rPr>
          <w:fldChar w:fldCharType="end"/>
        </w:r>
      </w:hyperlink>
    </w:p>
    <w:p w14:paraId="3C9AADA2" w14:textId="77777777" w:rsidR="00544281" w:rsidRDefault="00AE79F4" w:rsidP="00544281">
      <w:pPr>
        <w:pStyle w:val="TOC1"/>
        <w:rPr>
          <w:rFonts w:asciiTheme="minorHAnsi" w:eastAsiaTheme="minorEastAsia" w:hAnsiTheme="minorHAnsi" w:cstheme="minorBidi"/>
          <w:noProof/>
          <w:sz w:val="22"/>
          <w:szCs w:val="22"/>
        </w:rPr>
      </w:pPr>
      <w:hyperlink w:anchor="_Toc382029117" w:history="1">
        <w:r w:rsidR="00544281" w:rsidRPr="000653E6">
          <w:rPr>
            <w:rStyle w:val="Hyperlink"/>
            <w:b/>
            <w:noProof/>
          </w:rPr>
          <w:t>III.</w:t>
        </w:r>
        <w:r w:rsidR="00544281">
          <w:rPr>
            <w:rFonts w:asciiTheme="minorHAnsi" w:eastAsiaTheme="minorEastAsia" w:hAnsiTheme="minorHAnsi" w:cstheme="minorBidi"/>
            <w:noProof/>
            <w:sz w:val="22"/>
            <w:szCs w:val="22"/>
          </w:rPr>
          <w:tab/>
        </w:r>
        <w:r w:rsidR="00544281" w:rsidRPr="000653E6">
          <w:rPr>
            <w:rStyle w:val="Hyperlink"/>
            <w:b/>
            <w:noProof/>
          </w:rPr>
          <w:t>CONSUMER EXPERIENCE</w:t>
        </w:r>
        <w:r w:rsidR="00544281">
          <w:rPr>
            <w:noProof/>
            <w:webHidden/>
          </w:rPr>
          <w:tab/>
        </w:r>
        <w:r w:rsidR="00544281">
          <w:rPr>
            <w:noProof/>
            <w:webHidden/>
          </w:rPr>
          <w:fldChar w:fldCharType="begin"/>
        </w:r>
        <w:r w:rsidR="00544281">
          <w:rPr>
            <w:noProof/>
            <w:webHidden/>
          </w:rPr>
          <w:instrText xml:space="preserve"> PAGEREF _Toc382029117 \h </w:instrText>
        </w:r>
        <w:r w:rsidR="00544281">
          <w:rPr>
            <w:noProof/>
            <w:webHidden/>
          </w:rPr>
        </w:r>
        <w:r w:rsidR="00544281">
          <w:rPr>
            <w:noProof/>
            <w:webHidden/>
          </w:rPr>
          <w:fldChar w:fldCharType="separate"/>
        </w:r>
        <w:r w:rsidR="00902418">
          <w:rPr>
            <w:noProof/>
            <w:webHidden/>
          </w:rPr>
          <w:t>15</w:t>
        </w:r>
        <w:r w:rsidR="00544281">
          <w:rPr>
            <w:noProof/>
            <w:webHidden/>
          </w:rPr>
          <w:fldChar w:fldCharType="end"/>
        </w:r>
      </w:hyperlink>
    </w:p>
    <w:p w14:paraId="1503E623"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18" w:history="1">
        <w:r w:rsidR="00544281" w:rsidRPr="000653E6">
          <w:rPr>
            <w:rStyle w:val="Hyperlink"/>
            <w:b/>
            <w:noProof/>
          </w:rPr>
          <w:t>Overview</w:t>
        </w:r>
        <w:r w:rsidR="00544281">
          <w:rPr>
            <w:noProof/>
            <w:webHidden/>
          </w:rPr>
          <w:tab/>
        </w:r>
        <w:r w:rsidR="00544281">
          <w:rPr>
            <w:noProof/>
            <w:webHidden/>
          </w:rPr>
          <w:fldChar w:fldCharType="begin"/>
        </w:r>
        <w:r w:rsidR="00544281">
          <w:rPr>
            <w:noProof/>
            <w:webHidden/>
          </w:rPr>
          <w:instrText xml:space="preserve"> PAGEREF _Toc382029118 \h </w:instrText>
        </w:r>
        <w:r w:rsidR="00544281">
          <w:rPr>
            <w:noProof/>
            <w:webHidden/>
          </w:rPr>
        </w:r>
        <w:r w:rsidR="00544281">
          <w:rPr>
            <w:noProof/>
            <w:webHidden/>
          </w:rPr>
          <w:fldChar w:fldCharType="separate"/>
        </w:r>
        <w:r w:rsidR="00902418">
          <w:rPr>
            <w:noProof/>
            <w:webHidden/>
          </w:rPr>
          <w:t>15</w:t>
        </w:r>
        <w:r w:rsidR="00544281">
          <w:rPr>
            <w:noProof/>
            <w:webHidden/>
          </w:rPr>
          <w:fldChar w:fldCharType="end"/>
        </w:r>
      </w:hyperlink>
    </w:p>
    <w:p w14:paraId="51A08EBA"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19" w:history="1">
        <w:r w:rsidR="00544281" w:rsidRPr="000653E6">
          <w:rPr>
            <w:rStyle w:val="Hyperlink"/>
            <w:b/>
            <w:noProof/>
          </w:rPr>
          <w:t>Suppliers and Complaints</w:t>
        </w:r>
        <w:r w:rsidR="00544281">
          <w:rPr>
            <w:noProof/>
            <w:webHidden/>
          </w:rPr>
          <w:tab/>
        </w:r>
        <w:r w:rsidR="00544281">
          <w:rPr>
            <w:noProof/>
            <w:webHidden/>
          </w:rPr>
          <w:fldChar w:fldCharType="begin"/>
        </w:r>
        <w:r w:rsidR="00544281">
          <w:rPr>
            <w:noProof/>
            <w:webHidden/>
          </w:rPr>
          <w:instrText xml:space="preserve"> PAGEREF _Toc382029119 \h </w:instrText>
        </w:r>
        <w:r w:rsidR="00544281">
          <w:rPr>
            <w:noProof/>
            <w:webHidden/>
          </w:rPr>
        </w:r>
        <w:r w:rsidR="00544281">
          <w:rPr>
            <w:noProof/>
            <w:webHidden/>
          </w:rPr>
          <w:fldChar w:fldCharType="separate"/>
        </w:r>
        <w:r w:rsidR="00902418">
          <w:rPr>
            <w:noProof/>
            <w:webHidden/>
          </w:rPr>
          <w:t>25</w:t>
        </w:r>
        <w:r w:rsidR="00544281">
          <w:rPr>
            <w:noProof/>
            <w:webHidden/>
          </w:rPr>
          <w:fldChar w:fldCharType="end"/>
        </w:r>
      </w:hyperlink>
    </w:p>
    <w:p w14:paraId="17905063"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0" w:history="1">
        <w:r w:rsidR="00544281" w:rsidRPr="000653E6">
          <w:rPr>
            <w:rStyle w:val="Hyperlink"/>
            <w:b/>
            <w:noProof/>
          </w:rPr>
          <w:t>Demographics of complaints and communities where complaints originate</w:t>
        </w:r>
        <w:r w:rsidR="00544281">
          <w:rPr>
            <w:noProof/>
            <w:webHidden/>
          </w:rPr>
          <w:tab/>
        </w:r>
        <w:r w:rsidR="00544281">
          <w:rPr>
            <w:noProof/>
            <w:webHidden/>
          </w:rPr>
          <w:fldChar w:fldCharType="begin"/>
        </w:r>
        <w:r w:rsidR="00544281">
          <w:rPr>
            <w:noProof/>
            <w:webHidden/>
          </w:rPr>
          <w:instrText xml:space="preserve"> PAGEREF _Toc382029120 \h </w:instrText>
        </w:r>
        <w:r w:rsidR="00544281">
          <w:rPr>
            <w:noProof/>
            <w:webHidden/>
          </w:rPr>
        </w:r>
        <w:r w:rsidR="00544281">
          <w:rPr>
            <w:noProof/>
            <w:webHidden/>
          </w:rPr>
          <w:fldChar w:fldCharType="separate"/>
        </w:r>
        <w:r w:rsidR="00902418">
          <w:rPr>
            <w:noProof/>
            <w:webHidden/>
          </w:rPr>
          <w:t>30</w:t>
        </w:r>
        <w:r w:rsidR="00544281">
          <w:rPr>
            <w:noProof/>
            <w:webHidden/>
          </w:rPr>
          <w:fldChar w:fldCharType="end"/>
        </w:r>
      </w:hyperlink>
    </w:p>
    <w:p w14:paraId="16689F23"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1" w:history="1">
        <w:r w:rsidR="00544281" w:rsidRPr="000653E6">
          <w:rPr>
            <w:rStyle w:val="Hyperlink"/>
            <w:b/>
            <w:noProof/>
          </w:rPr>
          <w:t>Reasons for Complaints</w:t>
        </w:r>
        <w:r w:rsidR="00544281">
          <w:rPr>
            <w:noProof/>
            <w:webHidden/>
          </w:rPr>
          <w:tab/>
        </w:r>
        <w:r w:rsidR="00544281">
          <w:rPr>
            <w:noProof/>
            <w:webHidden/>
          </w:rPr>
          <w:fldChar w:fldCharType="begin"/>
        </w:r>
        <w:r w:rsidR="00544281">
          <w:rPr>
            <w:noProof/>
            <w:webHidden/>
          </w:rPr>
          <w:instrText xml:space="preserve"> PAGEREF _Toc382029121 \h </w:instrText>
        </w:r>
        <w:r w:rsidR="00544281">
          <w:rPr>
            <w:noProof/>
            <w:webHidden/>
          </w:rPr>
        </w:r>
        <w:r w:rsidR="00544281">
          <w:rPr>
            <w:noProof/>
            <w:webHidden/>
          </w:rPr>
          <w:fldChar w:fldCharType="separate"/>
        </w:r>
        <w:r w:rsidR="00902418">
          <w:rPr>
            <w:noProof/>
            <w:webHidden/>
          </w:rPr>
          <w:t>35</w:t>
        </w:r>
        <w:r w:rsidR="00544281">
          <w:rPr>
            <w:noProof/>
            <w:webHidden/>
          </w:rPr>
          <w:fldChar w:fldCharType="end"/>
        </w:r>
      </w:hyperlink>
    </w:p>
    <w:p w14:paraId="46ADCBE5"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2" w:history="1">
        <w:r w:rsidR="00544281" w:rsidRPr="000653E6">
          <w:rPr>
            <w:rStyle w:val="Hyperlink"/>
            <w:b/>
            <w:noProof/>
          </w:rPr>
          <w:t>Ongoing evidence of persistent consumer harm</w:t>
        </w:r>
        <w:r w:rsidR="00544281">
          <w:rPr>
            <w:noProof/>
            <w:webHidden/>
          </w:rPr>
          <w:tab/>
        </w:r>
        <w:r w:rsidR="00544281">
          <w:rPr>
            <w:noProof/>
            <w:webHidden/>
          </w:rPr>
          <w:fldChar w:fldCharType="begin"/>
        </w:r>
        <w:r w:rsidR="00544281">
          <w:rPr>
            <w:noProof/>
            <w:webHidden/>
          </w:rPr>
          <w:instrText xml:space="preserve"> PAGEREF _Toc382029122 \h </w:instrText>
        </w:r>
        <w:r w:rsidR="00544281">
          <w:rPr>
            <w:noProof/>
            <w:webHidden/>
          </w:rPr>
        </w:r>
        <w:r w:rsidR="00544281">
          <w:rPr>
            <w:noProof/>
            <w:webHidden/>
          </w:rPr>
          <w:fldChar w:fldCharType="separate"/>
        </w:r>
        <w:r w:rsidR="00902418">
          <w:rPr>
            <w:noProof/>
            <w:webHidden/>
          </w:rPr>
          <w:t>42</w:t>
        </w:r>
        <w:r w:rsidR="00544281">
          <w:rPr>
            <w:noProof/>
            <w:webHidden/>
          </w:rPr>
          <w:fldChar w:fldCharType="end"/>
        </w:r>
      </w:hyperlink>
    </w:p>
    <w:p w14:paraId="1473E34A"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3" w:history="1">
        <w:r w:rsidR="00544281" w:rsidRPr="000653E6">
          <w:rPr>
            <w:rStyle w:val="Hyperlink"/>
            <w:b/>
            <w:noProof/>
          </w:rPr>
          <w:t>Complaints about Suppliers’ rates</w:t>
        </w:r>
        <w:r w:rsidR="00544281">
          <w:rPr>
            <w:noProof/>
            <w:webHidden/>
          </w:rPr>
          <w:tab/>
        </w:r>
        <w:r w:rsidR="00544281">
          <w:rPr>
            <w:noProof/>
            <w:webHidden/>
          </w:rPr>
          <w:fldChar w:fldCharType="begin"/>
        </w:r>
        <w:r w:rsidR="00544281">
          <w:rPr>
            <w:noProof/>
            <w:webHidden/>
          </w:rPr>
          <w:instrText xml:space="preserve"> PAGEREF _Toc382029123 \h </w:instrText>
        </w:r>
        <w:r w:rsidR="00544281">
          <w:rPr>
            <w:noProof/>
            <w:webHidden/>
          </w:rPr>
        </w:r>
        <w:r w:rsidR="00544281">
          <w:rPr>
            <w:noProof/>
            <w:webHidden/>
          </w:rPr>
          <w:fldChar w:fldCharType="separate"/>
        </w:r>
        <w:r w:rsidR="00902418">
          <w:rPr>
            <w:noProof/>
            <w:webHidden/>
          </w:rPr>
          <w:t>43</w:t>
        </w:r>
        <w:r w:rsidR="00544281">
          <w:rPr>
            <w:noProof/>
            <w:webHidden/>
          </w:rPr>
          <w:fldChar w:fldCharType="end"/>
        </w:r>
      </w:hyperlink>
    </w:p>
    <w:p w14:paraId="3CE35238"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4" w:history="1">
        <w:r w:rsidR="00544281" w:rsidRPr="000653E6">
          <w:rPr>
            <w:rStyle w:val="Hyperlink"/>
            <w:b/>
            <w:noProof/>
          </w:rPr>
          <w:t>Aggressive and Misleading Sales Practices</w:t>
        </w:r>
        <w:r w:rsidR="00544281">
          <w:rPr>
            <w:noProof/>
            <w:webHidden/>
          </w:rPr>
          <w:tab/>
        </w:r>
        <w:r w:rsidR="00544281">
          <w:rPr>
            <w:noProof/>
            <w:webHidden/>
          </w:rPr>
          <w:fldChar w:fldCharType="begin"/>
        </w:r>
        <w:r w:rsidR="00544281">
          <w:rPr>
            <w:noProof/>
            <w:webHidden/>
          </w:rPr>
          <w:instrText xml:space="preserve"> PAGEREF _Toc382029124 \h </w:instrText>
        </w:r>
        <w:r w:rsidR="00544281">
          <w:rPr>
            <w:noProof/>
            <w:webHidden/>
          </w:rPr>
        </w:r>
        <w:r w:rsidR="00544281">
          <w:rPr>
            <w:noProof/>
            <w:webHidden/>
          </w:rPr>
          <w:fldChar w:fldCharType="separate"/>
        </w:r>
        <w:r w:rsidR="00902418">
          <w:rPr>
            <w:noProof/>
            <w:webHidden/>
          </w:rPr>
          <w:t>44</w:t>
        </w:r>
        <w:r w:rsidR="00544281">
          <w:rPr>
            <w:noProof/>
            <w:webHidden/>
          </w:rPr>
          <w:fldChar w:fldCharType="end"/>
        </w:r>
      </w:hyperlink>
    </w:p>
    <w:p w14:paraId="77D5FAFE"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5" w:history="1">
        <w:r w:rsidR="00544281" w:rsidRPr="000653E6">
          <w:rPr>
            <w:rStyle w:val="Hyperlink"/>
            <w:b/>
            <w:noProof/>
          </w:rPr>
          <w:t>Suppliers’ Quality of Customer Service</w:t>
        </w:r>
        <w:r w:rsidR="00544281">
          <w:rPr>
            <w:noProof/>
            <w:webHidden/>
          </w:rPr>
          <w:tab/>
        </w:r>
        <w:r w:rsidR="00544281">
          <w:rPr>
            <w:noProof/>
            <w:webHidden/>
          </w:rPr>
          <w:fldChar w:fldCharType="begin"/>
        </w:r>
        <w:r w:rsidR="00544281">
          <w:rPr>
            <w:noProof/>
            <w:webHidden/>
          </w:rPr>
          <w:instrText xml:space="preserve"> PAGEREF _Toc382029125 \h </w:instrText>
        </w:r>
        <w:r w:rsidR="00544281">
          <w:rPr>
            <w:noProof/>
            <w:webHidden/>
          </w:rPr>
        </w:r>
        <w:r w:rsidR="00544281">
          <w:rPr>
            <w:noProof/>
            <w:webHidden/>
          </w:rPr>
          <w:fldChar w:fldCharType="separate"/>
        </w:r>
        <w:r w:rsidR="00902418">
          <w:rPr>
            <w:noProof/>
            <w:webHidden/>
          </w:rPr>
          <w:t>47</w:t>
        </w:r>
        <w:r w:rsidR="00544281">
          <w:rPr>
            <w:noProof/>
            <w:webHidden/>
          </w:rPr>
          <w:fldChar w:fldCharType="end"/>
        </w:r>
      </w:hyperlink>
    </w:p>
    <w:p w14:paraId="670ADB81"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6" w:history="1">
        <w:r w:rsidR="00544281" w:rsidRPr="000653E6">
          <w:rPr>
            <w:rStyle w:val="Hyperlink"/>
            <w:b/>
            <w:noProof/>
          </w:rPr>
          <w:t>Customer credits resulting from complaints to PURA</w:t>
        </w:r>
        <w:r w:rsidR="00544281">
          <w:rPr>
            <w:noProof/>
            <w:webHidden/>
          </w:rPr>
          <w:tab/>
        </w:r>
        <w:r w:rsidR="00544281">
          <w:rPr>
            <w:noProof/>
            <w:webHidden/>
          </w:rPr>
          <w:fldChar w:fldCharType="begin"/>
        </w:r>
        <w:r w:rsidR="00544281">
          <w:rPr>
            <w:noProof/>
            <w:webHidden/>
          </w:rPr>
          <w:instrText xml:space="preserve"> PAGEREF _Toc382029126 \h </w:instrText>
        </w:r>
        <w:r w:rsidR="00544281">
          <w:rPr>
            <w:noProof/>
            <w:webHidden/>
          </w:rPr>
        </w:r>
        <w:r w:rsidR="00544281">
          <w:rPr>
            <w:noProof/>
            <w:webHidden/>
          </w:rPr>
          <w:fldChar w:fldCharType="separate"/>
        </w:r>
        <w:r w:rsidR="00902418">
          <w:rPr>
            <w:noProof/>
            <w:webHidden/>
          </w:rPr>
          <w:t>48</w:t>
        </w:r>
        <w:r w:rsidR="00544281">
          <w:rPr>
            <w:noProof/>
            <w:webHidden/>
          </w:rPr>
          <w:fldChar w:fldCharType="end"/>
        </w:r>
      </w:hyperlink>
    </w:p>
    <w:p w14:paraId="2693E02C"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27" w:history="1">
        <w:r w:rsidR="00544281" w:rsidRPr="000653E6">
          <w:rPr>
            <w:rStyle w:val="Hyperlink"/>
            <w:b/>
            <w:noProof/>
          </w:rPr>
          <w:t>Supplier responses to OCC interrogatories</w:t>
        </w:r>
        <w:r w:rsidR="00544281">
          <w:rPr>
            <w:noProof/>
            <w:webHidden/>
          </w:rPr>
          <w:tab/>
        </w:r>
        <w:r w:rsidR="00544281">
          <w:rPr>
            <w:noProof/>
            <w:webHidden/>
          </w:rPr>
          <w:fldChar w:fldCharType="begin"/>
        </w:r>
        <w:r w:rsidR="00544281">
          <w:rPr>
            <w:noProof/>
            <w:webHidden/>
          </w:rPr>
          <w:instrText xml:space="preserve"> PAGEREF _Toc382029127 \h </w:instrText>
        </w:r>
        <w:r w:rsidR="00544281">
          <w:rPr>
            <w:noProof/>
            <w:webHidden/>
          </w:rPr>
        </w:r>
        <w:r w:rsidR="00544281">
          <w:rPr>
            <w:noProof/>
            <w:webHidden/>
          </w:rPr>
          <w:fldChar w:fldCharType="separate"/>
        </w:r>
        <w:r w:rsidR="00902418">
          <w:rPr>
            <w:noProof/>
            <w:webHidden/>
          </w:rPr>
          <w:t>54</w:t>
        </w:r>
        <w:r w:rsidR="00544281">
          <w:rPr>
            <w:noProof/>
            <w:webHidden/>
          </w:rPr>
          <w:fldChar w:fldCharType="end"/>
        </w:r>
      </w:hyperlink>
    </w:p>
    <w:p w14:paraId="120BB893" w14:textId="77777777" w:rsidR="00544281" w:rsidRDefault="00AE79F4" w:rsidP="00544281">
      <w:pPr>
        <w:pStyle w:val="TOC1"/>
        <w:rPr>
          <w:rFonts w:asciiTheme="minorHAnsi" w:eastAsiaTheme="minorEastAsia" w:hAnsiTheme="minorHAnsi" w:cstheme="minorBidi"/>
          <w:noProof/>
          <w:sz w:val="22"/>
          <w:szCs w:val="22"/>
        </w:rPr>
      </w:pPr>
      <w:hyperlink w:anchor="_Toc382029128" w:history="1">
        <w:r w:rsidR="00544281" w:rsidRPr="000653E6">
          <w:rPr>
            <w:rStyle w:val="Hyperlink"/>
            <w:b/>
            <w:noProof/>
          </w:rPr>
          <w:t>IV.</w:t>
        </w:r>
        <w:r w:rsidR="00544281">
          <w:rPr>
            <w:rFonts w:asciiTheme="minorHAnsi" w:eastAsiaTheme="minorEastAsia" w:hAnsiTheme="minorHAnsi" w:cstheme="minorBidi"/>
            <w:noProof/>
            <w:sz w:val="22"/>
            <w:szCs w:val="22"/>
          </w:rPr>
          <w:tab/>
        </w:r>
        <w:r w:rsidR="00544281" w:rsidRPr="000653E6">
          <w:rPr>
            <w:rStyle w:val="Hyperlink"/>
            <w:b/>
            <w:noProof/>
          </w:rPr>
          <w:t>ELECTRIC RATES</w:t>
        </w:r>
        <w:r w:rsidR="00544281">
          <w:rPr>
            <w:noProof/>
            <w:webHidden/>
          </w:rPr>
          <w:tab/>
        </w:r>
        <w:r w:rsidR="00544281">
          <w:rPr>
            <w:noProof/>
            <w:webHidden/>
          </w:rPr>
          <w:fldChar w:fldCharType="begin"/>
        </w:r>
        <w:r w:rsidR="00544281">
          <w:rPr>
            <w:noProof/>
            <w:webHidden/>
          </w:rPr>
          <w:instrText xml:space="preserve"> PAGEREF _Toc382029128 \h </w:instrText>
        </w:r>
        <w:r w:rsidR="00544281">
          <w:rPr>
            <w:noProof/>
            <w:webHidden/>
          </w:rPr>
        </w:r>
        <w:r w:rsidR="00544281">
          <w:rPr>
            <w:noProof/>
            <w:webHidden/>
          </w:rPr>
          <w:fldChar w:fldCharType="separate"/>
        </w:r>
        <w:r w:rsidR="00902418">
          <w:rPr>
            <w:noProof/>
            <w:webHidden/>
          </w:rPr>
          <w:t>57</w:t>
        </w:r>
        <w:r w:rsidR="00544281">
          <w:rPr>
            <w:noProof/>
            <w:webHidden/>
          </w:rPr>
          <w:fldChar w:fldCharType="end"/>
        </w:r>
      </w:hyperlink>
    </w:p>
    <w:p w14:paraId="66B4A8E8" w14:textId="77777777" w:rsidR="00544281" w:rsidRDefault="00AE79F4" w:rsidP="00544281">
      <w:pPr>
        <w:pStyle w:val="TOC1"/>
        <w:rPr>
          <w:rFonts w:asciiTheme="minorHAnsi" w:eastAsiaTheme="minorEastAsia" w:hAnsiTheme="minorHAnsi" w:cstheme="minorBidi"/>
          <w:noProof/>
          <w:sz w:val="22"/>
          <w:szCs w:val="22"/>
        </w:rPr>
      </w:pPr>
      <w:hyperlink w:anchor="_Toc382029129" w:history="1">
        <w:r w:rsidR="00544281" w:rsidRPr="000653E6">
          <w:rPr>
            <w:rStyle w:val="Hyperlink"/>
            <w:b/>
            <w:noProof/>
          </w:rPr>
          <w:t>V.</w:t>
        </w:r>
        <w:r w:rsidR="00544281">
          <w:rPr>
            <w:rFonts w:asciiTheme="minorHAnsi" w:eastAsiaTheme="minorEastAsia" w:hAnsiTheme="minorHAnsi" w:cstheme="minorBidi"/>
            <w:noProof/>
            <w:sz w:val="22"/>
            <w:szCs w:val="22"/>
          </w:rPr>
          <w:tab/>
        </w:r>
        <w:r w:rsidR="00544281" w:rsidRPr="000653E6">
          <w:rPr>
            <w:rStyle w:val="Hyperlink"/>
            <w:b/>
            <w:noProof/>
          </w:rPr>
          <w:t>DISTORTIONS IN THE SUPPLIER MARKET</w:t>
        </w:r>
        <w:r w:rsidR="00544281">
          <w:rPr>
            <w:noProof/>
            <w:webHidden/>
          </w:rPr>
          <w:tab/>
        </w:r>
        <w:r w:rsidR="00544281">
          <w:rPr>
            <w:noProof/>
            <w:webHidden/>
          </w:rPr>
          <w:fldChar w:fldCharType="begin"/>
        </w:r>
        <w:r w:rsidR="00544281">
          <w:rPr>
            <w:noProof/>
            <w:webHidden/>
          </w:rPr>
          <w:instrText xml:space="preserve"> PAGEREF _Toc382029129 \h </w:instrText>
        </w:r>
        <w:r w:rsidR="00544281">
          <w:rPr>
            <w:noProof/>
            <w:webHidden/>
          </w:rPr>
        </w:r>
        <w:r w:rsidR="00544281">
          <w:rPr>
            <w:noProof/>
            <w:webHidden/>
          </w:rPr>
          <w:fldChar w:fldCharType="separate"/>
        </w:r>
        <w:r w:rsidR="00902418">
          <w:rPr>
            <w:noProof/>
            <w:webHidden/>
          </w:rPr>
          <w:t>88</w:t>
        </w:r>
        <w:r w:rsidR="00544281">
          <w:rPr>
            <w:noProof/>
            <w:webHidden/>
          </w:rPr>
          <w:fldChar w:fldCharType="end"/>
        </w:r>
      </w:hyperlink>
    </w:p>
    <w:p w14:paraId="3BC0AD64" w14:textId="77777777" w:rsidR="00544281" w:rsidRDefault="00AE79F4" w:rsidP="00544281">
      <w:pPr>
        <w:pStyle w:val="TOC1"/>
        <w:rPr>
          <w:rFonts w:asciiTheme="minorHAnsi" w:eastAsiaTheme="minorEastAsia" w:hAnsiTheme="minorHAnsi" w:cstheme="minorBidi"/>
          <w:noProof/>
          <w:sz w:val="22"/>
          <w:szCs w:val="22"/>
        </w:rPr>
      </w:pPr>
      <w:hyperlink w:anchor="_Toc382029130" w:history="1">
        <w:r w:rsidR="00544281" w:rsidRPr="000653E6">
          <w:rPr>
            <w:rStyle w:val="Hyperlink"/>
            <w:b/>
            <w:noProof/>
          </w:rPr>
          <w:t>VI.</w:t>
        </w:r>
        <w:r w:rsidR="00544281">
          <w:rPr>
            <w:rFonts w:asciiTheme="minorHAnsi" w:eastAsiaTheme="minorEastAsia" w:hAnsiTheme="minorHAnsi" w:cstheme="minorBidi"/>
            <w:noProof/>
            <w:sz w:val="22"/>
            <w:szCs w:val="22"/>
          </w:rPr>
          <w:tab/>
        </w:r>
        <w:r w:rsidR="00544281" w:rsidRPr="000653E6">
          <w:rPr>
            <w:rStyle w:val="Hyperlink"/>
            <w:b/>
            <w:noProof/>
          </w:rPr>
          <w:t>REMEDIES</w:t>
        </w:r>
        <w:r w:rsidR="00544281">
          <w:rPr>
            <w:noProof/>
            <w:webHidden/>
          </w:rPr>
          <w:tab/>
        </w:r>
        <w:r w:rsidR="00544281">
          <w:rPr>
            <w:noProof/>
            <w:webHidden/>
          </w:rPr>
          <w:fldChar w:fldCharType="begin"/>
        </w:r>
        <w:r w:rsidR="00544281">
          <w:rPr>
            <w:noProof/>
            <w:webHidden/>
          </w:rPr>
          <w:instrText xml:space="preserve"> PAGEREF _Toc382029130 \h </w:instrText>
        </w:r>
        <w:r w:rsidR="00544281">
          <w:rPr>
            <w:noProof/>
            <w:webHidden/>
          </w:rPr>
        </w:r>
        <w:r w:rsidR="00544281">
          <w:rPr>
            <w:noProof/>
            <w:webHidden/>
          </w:rPr>
          <w:fldChar w:fldCharType="separate"/>
        </w:r>
        <w:r w:rsidR="00902418">
          <w:rPr>
            <w:noProof/>
            <w:webHidden/>
          </w:rPr>
          <w:t>92</w:t>
        </w:r>
        <w:r w:rsidR="00544281">
          <w:rPr>
            <w:noProof/>
            <w:webHidden/>
          </w:rPr>
          <w:fldChar w:fldCharType="end"/>
        </w:r>
      </w:hyperlink>
    </w:p>
    <w:p w14:paraId="69C89863"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31" w:history="1">
        <w:r w:rsidR="00544281" w:rsidRPr="000653E6">
          <w:rPr>
            <w:rStyle w:val="Hyperlink"/>
            <w:b/>
            <w:noProof/>
          </w:rPr>
          <w:t>Supplier-specific concerns</w:t>
        </w:r>
        <w:r w:rsidR="00544281">
          <w:rPr>
            <w:noProof/>
            <w:webHidden/>
          </w:rPr>
          <w:tab/>
        </w:r>
        <w:r w:rsidR="00544281">
          <w:rPr>
            <w:noProof/>
            <w:webHidden/>
          </w:rPr>
          <w:fldChar w:fldCharType="begin"/>
        </w:r>
        <w:r w:rsidR="00544281">
          <w:rPr>
            <w:noProof/>
            <w:webHidden/>
          </w:rPr>
          <w:instrText xml:space="preserve"> PAGEREF _Toc382029131 \h </w:instrText>
        </w:r>
        <w:r w:rsidR="00544281">
          <w:rPr>
            <w:noProof/>
            <w:webHidden/>
          </w:rPr>
        </w:r>
        <w:r w:rsidR="00544281">
          <w:rPr>
            <w:noProof/>
            <w:webHidden/>
          </w:rPr>
          <w:fldChar w:fldCharType="separate"/>
        </w:r>
        <w:r w:rsidR="00902418">
          <w:rPr>
            <w:noProof/>
            <w:webHidden/>
          </w:rPr>
          <w:t>99</w:t>
        </w:r>
        <w:r w:rsidR="00544281">
          <w:rPr>
            <w:noProof/>
            <w:webHidden/>
          </w:rPr>
          <w:fldChar w:fldCharType="end"/>
        </w:r>
      </w:hyperlink>
    </w:p>
    <w:p w14:paraId="4F8AFD9B" w14:textId="77777777" w:rsidR="00544281" w:rsidRDefault="00AE79F4" w:rsidP="00544281">
      <w:pPr>
        <w:pStyle w:val="TOC2"/>
        <w:spacing w:line="480" w:lineRule="auto"/>
        <w:rPr>
          <w:rFonts w:asciiTheme="minorHAnsi" w:eastAsiaTheme="minorEastAsia" w:hAnsiTheme="minorHAnsi" w:cstheme="minorBidi"/>
          <w:noProof/>
          <w:sz w:val="22"/>
          <w:szCs w:val="22"/>
        </w:rPr>
      </w:pPr>
      <w:hyperlink w:anchor="_Toc382029132" w:history="1">
        <w:r w:rsidR="00544281" w:rsidRPr="000653E6">
          <w:rPr>
            <w:rStyle w:val="Hyperlink"/>
            <w:b/>
            <w:noProof/>
          </w:rPr>
          <w:t>Conclusion</w:t>
        </w:r>
        <w:r w:rsidR="00544281">
          <w:rPr>
            <w:noProof/>
            <w:webHidden/>
          </w:rPr>
          <w:tab/>
        </w:r>
        <w:r w:rsidR="00544281">
          <w:rPr>
            <w:noProof/>
            <w:webHidden/>
          </w:rPr>
          <w:fldChar w:fldCharType="begin"/>
        </w:r>
        <w:r w:rsidR="00544281">
          <w:rPr>
            <w:noProof/>
            <w:webHidden/>
          </w:rPr>
          <w:instrText xml:space="preserve"> PAGEREF _Toc382029132 \h </w:instrText>
        </w:r>
        <w:r w:rsidR="00544281">
          <w:rPr>
            <w:noProof/>
            <w:webHidden/>
          </w:rPr>
        </w:r>
        <w:r w:rsidR="00544281">
          <w:rPr>
            <w:noProof/>
            <w:webHidden/>
          </w:rPr>
          <w:fldChar w:fldCharType="separate"/>
        </w:r>
        <w:r w:rsidR="00902418">
          <w:rPr>
            <w:noProof/>
            <w:webHidden/>
          </w:rPr>
          <w:t>99</w:t>
        </w:r>
        <w:r w:rsidR="00544281">
          <w:rPr>
            <w:noProof/>
            <w:webHidden/>
          </w:rPr>
          <w:fldChar w:fldCharType="end"/>
        </w:r>
      </w:hyperlink>
    </w:p>
    <w:p w14:paraId="223015E0" w14:textId="77777777" w:rsidR="00D063E8" w:rsidRDefault="00544281" w:rsidP="00544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480" w:lineRule="auto"/>
        <w:rPr>
          <w:b/>
        </w:rPr>
      </w:pPr>
      <w:r>
        <w:rPr>
          <w:b/>
        </w:rPr>
        <w:fldChar w:fldCharType="end"/>
      </w:r>
    </w:p>
    <w:p w14:paraId="29C401CD" w14:textId="77777777" w:rsidR="00060BF7" w:rsidRDefault="00060BF7" w:rsidP="002607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5F85DDA1" w14:textId="77777777" w:rsidR="00AC7EA0" w:rsidRDefault="00AC7EA0" w:rsidP="002607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Pr>
          <w:b/>
        </w:rPr>
        <w:t>List of Tables</w:t>
      </w:r>
    </w:p>
    <w:p w14:paraId="2D944042" w14:textId="77777777" w:rsidR="00025572" w:rsidRDefault="00025572" w:rsidP="00025572">
      <w:pPr>
        <w:rPr>
          <w:color w:val="000000"/>
        </w:rPr>
      </w:pPr>
    </w:p>
    <w:p w14:paraId="2B71E47E" w14:textId="77777777" w:rsidR="00514F4F" w:rsidRPr="00025572" w:rsidRDefault="00514F4F" w:rsidP="00514F4F">
      <w:pPr>
        <w:spacing w:line="480" w:lineRule="auto"/>
        <w:ind w:left="720" w:hanging="720"/>
      </w:pPr>
      <w:r>
        <w:t>Table 1</w:t>
      </w:r>
      <w:r w:rsidRPr="00025572">
        <w:t xml:space="preserve"> </w:t>
      </w:r>
      <w:r w:rsidRPr="00025572">
        <w:tab/>
      </w:r>
      <w:r w:rsidRPr="00025572">
        <w:tab/>
      </w:r>
      <w:r w:rsidRPr="00025572">
        <w:tab/>
        <w:t>Consumer Complaints by Supplier (ranked by quantity)</w:t>
      </w:r>
    </w:p>
    <w:p w14:paraId="4B57784F" w14:textId="77777777" w:rsidR="00514F4F" w:rsidRPr="00025572" w:rsidRDefault="00514F4F" w:rsidP="00514F4F">
      <w:pPr>
        <w:keepLines/>
        <w:spacing w:line="480" w:lineRule="auto"/>
        <w:ind w:left="2880" w:hanging="2880"/>
      </w:pPr>
      <w:r>
        <w:t xml:space="preserve">Table </w:t>
      </w:r>
      <w:r w:rsidRPr="00025572">
        <w:t>2</w:t>
      </w:r>
      <w:r w:rsidRPr="00025572">
        <w:tab/>
        <w:t>Suppliers Ranked by Complaints as Percent of Total Customers</w:t>
      </w:r>
    </w:p>
    <w:p w14:paraId="75AF53ED" w14:textId="77777777" w:rsidR="00514F4F" w:rsidRPr="00025572" w:rsidRDefault="00514F4F" w:rsidP="00514F4F">
      <w:pPr>
        <w:spacing w:line="480" w:lineRule="auto"/>
        <w:ind w:left="720" w:hanging="720"/>
      </w:pPr>
      <w:r w:rsidRPr="00025572">
        <w:t>Table 3</w:t>
      </w:r>
      <w:r w:rsidRPr="00025572">
        <w:tab/>
      </w:r>
      <w:r>
        <w:tab/>
      </w:r>
      <w:r>
        <w:tab/>
      </w:r>
      <w:r w:rsidRPr="00025572">
        <w:t xml:space="preserve">Complaints Originating from </w:t>
      </w:r>
      <w:r>
        <w:t>Seniors</w:t>
      </w:r>
      <w:r w:rsidRPr="00025572">
        <w:t xml:space="preserve"> </w:t>
      </w:r>
    </w:p>
    <w:p w14:paraId="62339425" w14:textId="77777777" w:rsidR="00514F4F" w:rsidRDefault="00514F4F" w:rsidP="00514F4F">
      <w:pPr>
        <w:spacing w:line="480" w:lineRule="auto"/>
        <w:ind w:left="720" w:hanging="720"/>
      </w:pPr>
      <w:r>
        <w:t xml:space="preserve">Table </w:t>
      </w:r>
      <w:r w:rsidRPr="00025572">
        <w:t>4</w:t>
      </w:r>
      <w:r w:rsidRPr="00025572">
        <w:tab/>
      </w:r>
      <w:r>
        <w:tab/>
      </w:r>
      <w:r>
        <w:tab/>
      </w:r>
      <w:r w:rsidRPr="00025572">
        <w:t>Complaints Originating from ESL Households</w:t>
      </w:r>
    </w:p>
    <w:p w14:paraId="6FC742C1" w14:textId="77777777" w:rsidR="00514F4F" w:rsidRPr="00E77908" w:rsidRDefault="00514F4F" w:rsidP="00514F4F">
      <w:pPr>
        <w:keepNext/>
        <w:keepLines/>
        <w:spacing w:line="480" w:lineRule="auto"/>
      </w:pPr>
      <w:r>
        <w:t>Table 5</w:t>
      </w:r>
      <w:r w:rsidRPr="00E77908">
        <w:tab/>
      </w:r>
      <w:r w:rsidRPr="00E77908">
        <w:tab/>
      </w:r>
      <w:r w:rsidRPr="00E77908">
        <w:tab/>
        <w:t>Complaints  -  Rate Levels and Rate Changes</w:t>
      </w:r>
    </w:p>
    <w:p w14:paraId="4A58D4DB" w14:textId="77777777" w:rsidR="00514F4F" w:rsidRPr="00E77908" w:rsidRDefault="00514F4F" w:rsidP="00514F4F">
      <w:pPr>
        <w:keepNext/>
        <w:keepLines/>
        <w:ind w:left="720" w:hanging="720"/>
      </w:pPr>
      <w:r>
        <w:t>Table 6</w:t>
      </w:r>
      <w:r w:rsidRPr="00E77908">
        <w:tab/>
      </w:r>
      <w:r w:rsidRPr="00E77908">
        <w:tab/>
      </w:r>
      <w:r w:rsidRPr="00E77908">
        <w:tab/>
        <w:t>Complaints  - Aggressive and Misleading Sales Practices</w:t>
      </w:r>
    </w:p>
    <w:p w14:paraId="4CEAC161" w14:textId="77777777" w:rsidR="00514F4F" w:rsidRPr="00E77908" w:rsidRDefault="00514F4F" w:rsidP="00514F4F">
      <w:pPr>
        <w:keepNext/>
        <w:keepLines/>
        <w:ind w:left="720" w:hanging="720"/>
      </w:pPr>
    </w:p>
    <w:p w14:paraId="65098EB0" w14:textId="77777777" w:rsidR="00514F4F" w:rsidRPr="00E77908" w:rsidRDefault="00514F4F" w:rsidP="00514F4F">
      <w:pPr>
        <w:keepNext/>
        <w:keepLines/>
        <w:spacing w:line="480" w:lineRule="auto"/>
      </w:pPr>
      <w:r>
        <w:t>Table 7</w:t>
      </w:r>
      <w:r w:rsidRPr="00E77908">
        <w:tab/>
      </w:r>
      <w:r w:rsidRPr="00E77908">
        <w:tab/>
      </w:r>
      <w:r w:rsidRPr="00E77908">
        <w:tab/>
        <w:t>Complaints  - Suppliers’ Quality of Customer Service</w:t>
      </w:r>
    </w:p>
    <w:p w14:paraId="3AB3D7B8" w14:textId="77777777" w:rsidR="00514F4F" w:rsidRPr="00E77908" w:rsidRDefault="00514F4F" w:rsidP="00514F4F">
      <w:pPr>
        <w:keepNext/>
        <w:keepLines/>
        <w:ind w:left="720" w:hanging="720"/>
      </w:pPr>
      <w:r>
        <w:t>Table 8</w:t>
      </w:r>
      <w:r w:rsidRPr="00E77908">
        <w:tab/>
      </w:r>
      <w:r w:rsidRPr="00E77908">
        <w:tab/>
      </w:r>
      <w:r w:rsidRPr="00E77908">
        <w:tab/>
        <w:t>Credits to Consumers, by Supplier</w:t>
      </w:r>
    </w:p>
    <w:p w14:paraId="20678942" w14:textId="77777777" w:rsidR="00514F4F" w:rsidRPr="00E77908" w:rsidRDefault="00514F4F" w:rsidP="00514F4F">
      <w:pPr>
        <w:keepNext/>
        <w:keepLines/>
        <w:ind w:left="2880" w:hanging="2880"/>
      </w:pPr>
    </w:p>
    <w:p w14:paraId="3F097388" w14:textId="77777777" w:rsidR="00514F4F" w:rsidRPr="00E77908" w:rsidRDefault="00514F4F" w:rsidP="00514F4F">
      <w:pPr>
        <w:keepNext/>
        <w:keepLines/>
        <w:ind w:left="2880" w:hanging="2880"/>
      </w:pPr>
      <w:r>
        <w:t>Table 9</w:t>
      </w:r>
      <w:r w:rsidRPr="00E77908">
        <w:tab/>
        <w:t>Suppliers with Complaints Mentioning Use of Door-to-Door Sales</w:t>
      </w:r>
    </w:p>
    <w:p w14:paraId="68A1F7FA" w14:textId="77777777" w:rsidR="00514F4F" w:rsidRPr="00E77908" w:rsidRDefault="00514F4F" w:rsidP="00514F4F">
      <w:pPr>
        <w:rPr>
          <w:color w:val="000000"/>
        </w:rPr>
      </w:pPr>
    </w:p>
    <w:p w14:paraId="28B32E47" w14:textId="77777777" w:rsidR="00514F4F" w:rsidRPr="00E77908" w:rsidRDefault="00514F4F" w:rsidP="00514F4F">
      <w:pPr>
        <w:keepNext/>
        <w:keepLines/>
        <w:ind w:left="2880" w:hanging="2880"/>
      </w:pPr>
      <w:r>
        <w:t>Table 10</w:t>
      </w:r>
      <w:r w:rsidRPr="00E77908">
        <w:tab/>
        <w:t>Residential Customers Purchasing Service from EDCs and Suppliers</w:t>
      </w:r>
    </w:p>
    <w:p w14:paraId="7D032850" w14:textId="77777777" w:rsidR="00514F4F" w:rsidRPr="00E77908" w:rsidRDefault="00514F4F" w:rsidP="00514F4F">
      <w:pPr>
        <w:keepNext/>
        <w:keepLines/>
        <w:ind w:left="720" w:hanging="720"/>
      </w:pPr>
    </w:p>
    <w:p w14:paraId="7D2E930C" w14:textId="77777777" w:rsidR="00514F4F" w:rsidRPr="00E77908" w:rsidRDefault="00514F4F" w:rsidP="00514F4F">
      <w:pPr>
        <w:keepNext/>
        <w:keepLines/>
        <w:ind w:left="2880" w:hanging="2880"/>
      </w:pPr>
      <w:r>
        <w:t>Table 11</w:t>
      </w:r>
      <w:r w:rsidRPr="00E77908">
        <w:tab/>
        <w:t>Number and Type of Customers Billed by CL&amp;P (January 2014)</w:t>
      </w:r>
    </w:p>
    <w:p w14:paraId="7ECC3BA7" w14:textId="77777777" w:rsidR="00514F4F" w:rsidRPr="00E77908" w:rsidRDefault="00514F4F" w:rsidP="00514F4F">
      <w:pPr>
        <w:keepNext/>
        <w:keepLines/>
        <w:ind w:left="720" w:hanging="720"/>
      </w:pPr>
    </w:p>
    <w:p w14:paraId="7C195F17" w14:textId="77777777" w:rsidR="00514F4F" w:rsidRPr="00885645" w:rsidRDefault="00514F4F" w:rsidP="00514F4F">
      <w:pPr>
        <w:keepNext/>
        <w:keepLines/>
        <w:ind w:left="2880" w:hanging="2880"/>
      </w:pPr>
      <w:r>
        <w:t>Table 12</w:t>
      </w:r>
      <w:r>
        <w:tab/>
      </w:r>
      <w:r w:rsidRPr="00885645">
        <w:t>Number of CL&amp;P Residential Customers Served by Alternative Suppliers (September 2013)</w:t>
      </w:r>
    </w:p>
    <w:p w14:paraId="7461E512" w14:textId="77777777" w:rsidR="00514F4F" w:rsidRPr="00E77908" w:rsidRDefault="00514F4F" w:rsidP="00514F4F">
      <w:pPr>
        <w:keepNext/>
        <w:keepLines/>
        <w:ind w:left="2880" w:hanging="2880"/>
      </w:pPr>
    </w:p>
    <w:p w14:paraId="6A9DDD25" w14:textId="77777777" w:rsidR="00514F4F" w:rsidRPr="00E77908" w:rsidRDefault="00514F4F" w:rsidP="00514F4F">
      <w:pPr>
        <w:keepNext/>
        <w:keepLines/>
        <w:ind w:left="2880" w:hanging="2880"/>
      </w:pPr>
      <w:r>
        <w:t>Confidential Table C-13</w:t>
      </w:r>
      <w:r w:rsidRPr="00E77908">
        <w:tab/>
        <w:t>Weighted Average Price of Suppliers With at Least 5,000 Customers</w:t>
      </w:r>
    </w:p>
    <w:p w14:paraId="4539CD27" w14:textId="77777777" w:rsidR="00514F4F" w:rsidRPr="00E77908" w:rsidRDefault="00514F4F" w:rsidP="00514F4F">
      <w:pPr>
        <w:keepNext/>
        <w:keepLines/>
        <w:ind w:left="2880" w:hanging="2880"/>
      </w:pPr>
    </w:p>
    <w:p w14:paraId="55801C8B" w14:textId="77777777" w:rsidR="00514F4F" w:rsidRDefault="00514F4F" w:rsidP="00514F4F">
      <w:pPr>
        <w:ind w:left="720" w:hanging="720"/>
      </w:pPr>
      <w:r>
        <w:t>Table 14</w:t>
      </w:r>
      <w:r w:rsidRPr="00E77908">
        <w:tab/>
      </w:r>
      <w:r w:rsidRPr="00E77908">
        <w:tab/>
      </w:r>
      <w:r w:rsidRPr="00E77908">
        <w:tab/>
        <w:t xml:space="preserve">CL&amp;P and Supplier Customer </w:t>
      </w:r>
      <w:r>
        <w:t xml:space="preserve">Migration </w:t>
      </w:r>
      <w:r w:rsidRPr="00E77908">
        <w:t>During 2013</w:t>
      </w:r>
    </w:p>
    <w:p w14:paraId="2ED3F65C" w14:textId="77777777" w:rsidR="00514F4F" w:rsidRPr="00E77908" w:rsidRDefault="00514F4F" w:rsidP="00514F4F">
      <w:pPr>
        <w:ind w:left="720" w:hanging="720"/>
      </w:pPr>
    </w:p>
    <w:p w14:paraId="149EF68D" w14:textId="77777777" w:rsidR="00514F4F" w:rsidRPr="00E77908" w:rsidRDefault="00514F4F" w:rsidP="00514F4F">
      <w:pPr>
        <w:keepNext/>
        <w:keepLines/>
        <w:ind w:left="720" w:hanging="720"/>
      </w:pPr>
      <w:r>
        <w:t>Table 15</w:t>
      </w:r>
      <w:r w:rsidRPr="00E77908">
        <w:tab/>
      </w:r>
      <w:r w:rsidRPr="00E77908">
        <w:tab/>
      </w:r>
      <w:r w:rsidRPr="00E77908">
        <w:tab/>
        <w:t xml:space="preserve">Comparative Distribution of UI Customers and Suppliers’ </w:t>
      </w:r>
    </w:p>
    <w:p w14:paraId="31652B82" w14:textId="77777777" w:rsidR="00514F4F" w:rsidRPr="00E77908" w:rsidRDefault="00514F4F" w:rsidP="00514F4F">
      <w:pPr>
        <w:keepNext/>
        <w:keepLines/>
        <w:ind w:left="720" w:hanging="720"/>
      </w:pPr>
      <w:r w:rsidRPr="00E77908">
        <w:tab/>
      </w:r>
      <w:r w:rsidRPr="00E77908">
        <w:tab/>
      </w:r>
      <w:r w:rsidRPr="00E77908">
        <w:tab/>
      </w:r>
      <w:r w:rsidRPr="00E77908">
        <w:tab/>
        <w:t>Customers in the UI Footprint</w:t>
      </w:r>
    </w:p>
    <w:p w14:paraId="1142DB1E" w14:textId="77777777" w:rsidR="00514F4F" w:rsidRPr="00E77908" w:rsidRDefault="00514F4F" w:rsidP="00514F4F">
      <w:pPr>
        <w:ind w:left="720" w:hanging="720"/>
      </w:pPr>
    </w:p>
    <w:p w14:paraId="4CDCCCEA" w14:textId="77777777" w:rsidR="00514F4F" w:rsidRPr="00E77908" w:rsidRDefault="00514F4F" w:rsidP="00514F4F">
      <w:pPr>
        <w:keepNext/>
        <w:keepLines/>
        <w:ind w:left="3600" w:hanging="3600"/>
      </w:pPr>
      <w:r>
        <w:t>Partially Confidential Table C-16</w:t>
      </w:r>
      <w:r>
        <w:tab/>
      </w:r>
      <w:r w:rsidRPr="00E77908">
        <w:t>UI Suppliers Ranked by Percent of Customers with Hardship Codes</w:t>
      </w:r>
    </w:p>
    <w:p w14:paraId="4DADFDA1" w14:textId="77777777" w:rsidR="00514F4F" w:rsidRPr="00E77908" w:rsidRDefault="00514F4F" w:rsidP="00514F4F">
      <w:pPr>
        <w:keepNext/>
        <w:keepLines/>
        <w:ind w:left="2880" w:hanging="2880"/>
      </w:pPr>
    </w:p>
    <w:p w14:paraId="26E7F46A" w14:textId="77777777" w:rsidR="00514F4F" w:rsidRPr="00E77908" w:rsidRDefault="00514F4F" w:rsidP="00514F4F">
      <w:pPr>
        <w:keepNext/>
        <w:keepLines/>
        <w:ind w:left="2880" w:hanging="2880"/>
      </w:pPr>
      <w:r>
        <w:t>Confidential Table C-17</w:t>
      </w:r>
      <w:r w:rsidRPr="00E77908">
        <w:tab/>
        <w:t>Weighted Average Residential Rates of Suppliers in UI Footprint</w:t>
      </w:r>
    </w:p>
    <w:p w14:paraId="2B9841B4" w14:textId="77777777" w:rsidR="00514F4F" w:rsidRPr="00E77908" w:rsidRDefault="00514F4F" w:rsidP="00514F4F">
      <w:pPr>
        <w:keepNext/>
        <w:keepLines/>
        <w:ind w:left="720" w:hanging="720"/>
      </w:pPr>
    </w:p>
    <w:p w14:paraId="0B1D5CE7" w14:textId="77777777" w:rsidR="00514F4F" w:rsidRPr="00E77908" w:rsidRDefault="00514F4F" w:rsidP="00514F4F">
      <w:pPr>
        <w:keepNext/>
        <w:keepLines/>
        <w:ind w:left="2880" w:hanging="2880"/>
      </w:pPr>
      <w:r>
        <w:t>Table 18</w:t>
      </w:r>
      <w:r w:rsidRPr="00E77908">
        <w:tab/>
        <w:t>Average Cost Difference to Consumers Who Elect Alternative Suppliers</w:t>
      </w:r>
    </w:p>
    <w:p w14:paraId="0081BA7A" w14:textId="77777777" w:rsidR="00514F4F" w:rsidRPr="00E77908" w:rsidRDefault="00514F4F" w:rsidP="00514F4F">
      <w:pPr>
        <w:keepNext/>
        <w:keepLines/>
        <w:ind w:left="720" w:hanging="720"/>
      </w:pPr>
    </w:p>
    <w:p w14:paraId="0BDB8269" w14:textId="77777777" w:rsidR="00514F4F" w:rsidRPr="00E77908" w:rsidRDefault="00514F4F" w:rsidP="00514F4F">
      <w:pPr>
        <w:keepNext/>
        <w:keepLines/>
        <w:ind w:left="2880" w:hanging="2880"/>
      </w:pPr>
      <w:r>
        <w:t>Table 19</w:t>
      </w:r>
      <w:r w:rsidRPr="00E77908">
        <w:tab/>
        <w:t>Total Cost to Connecticut Consumers of Supplier Price Difference</w:t>
      </w:r>
    </w:p>
    <w:p w14:paraId="7F26B070" w14:textId="77777777" w:rsidR="00514F4F" w:rsidRPr="00E77908" w:rsidRDefault="00514F4F" w:rsidP="00514F4F">
      <w:pPr>
        <w:keepNext/>
        <w:keepLines/>
        <w:ind w:left="2880" w:hanging="2880"/>
      </w:pPr>
    </w:p>
    <w:p w14:paraId="0A4BAA2C" w14:textId="77777777" w:rsidR="00514F4F" w:rsidRPr="00E77908" w:rsidRDefault="00514F4F" w:rsidP="00514F4F">
      <w:pPr>
        <w:keepNext/>
        <w:keepLines/>
        <w:ind w:left="2880" w:right="720" w:hanging="2880"/>
      </w:pPr>
      <w:r>
        <w:t>Confidential Table C-20</w:t>
      </w:r>
      <w:r w:rsidRPr="00E77908">
        <w:tab/>
        <w:t>Summary of Complaint and Pricing Data by Supplier</w:t>
      </w:r>
    </w:p>
    <w:p w14:paraId="13CBFE07" w14:textId="77777777" w:rsidR="00514F4F" w:rsidRPr="00E77908" w:rsidRDefault="00514F4F" w:rsidP="00514F4F">
      <w:pPr>
        <w:keepNext/>
        <w:keepLines/>
        <w:ind w:left="720" w:right="720" w:hanging="720"/>
      </w:pPr>
    </w:p>
    <w:p w14:paraId="13DD142F" w14:textId="77777777" w:rsidR="00514F4F" w:rsidRPr="00E77908" w:rsidRDefault="00514F4F" w:rsidP="00514F4F">
      <w:pPr>
        <w:keepNext/>
        <w:keepLines/>
        <w:ind w:left="2880" w:right="720" w:hanging="2880"/>
      </w:pPr>
      <w:r>
        <w:t>Confidential Table C-21</w:t>
      </w:r>
      <w:r w:rsidRPr="00E77908">
        <w:tab/>
        <w:t xml:space="preserve">Suppliers with High Rates and High Complaint Ratios </w:t>
      </w:r>
    </w:p>
    <w:p w14:paraId="235C070C" w14:textId="77777777" w:rsidR="00514F4F" w:rsidRPr="00E77908" w:rsidRDefault="00514F4F" w:rsidP="00514F4F">
      <w:pPr>
        <w:ind w:left="720" w:hanging="720"/>
      </w:pPr>
    </w:p>
    <w:p w14:paraId="1C872523" w14:textId="77777777" w:rsidR="00514F4F" w:rsidRPr="00E77908" w:rsidRDefault="00514F4F" w:rsidP="00514F4F">
      <w:pPr>
        <w:ind w:left="720" w:hanging="720"/>
      </w:pPr>
      <w:r>
        <w:t>Confidential Table C-22</w:t>
      </w:r>
      <w:r w:rsidRPr="00E77908">
        <w:tab/>
        <w:t xml:space="preserve">Suppliers with Low Rates and Low Complaint Ratios </w:t>
      </w:r>
    </w:p>
    <w:p w14:paraId="07A87806" w14:textId="77777777" w:rsidR="00EB025F" w:rsidRPr="00E77908" w:rsidRDefault="00EB025F" w:rsidP="002C2583">
      <w:pPr>
        <w:keepNext/>
        <w:keepLines/>
        <w:ind w:left="720" w:right="720" w:hanging="720"/>
      </w:pPr>
    </w:p>
    <w:p w14:paraId="65113C85" w14:textId="77777777" w:rsidR="00AF62E5" w:rsidRDefault="00AF62E5" w:rsidP="00713568">
      <w:pPr>
        <w:widowControl/>
        <w:autoSpaceDE/>
        <w:autoSpaceDN/>
        <w:adjustRightInd/>
        <w:rPr>
          <w:bCs/>
          <w:color w:val="000000"/>
        </w:rPr>
      </w:pPr>
    </w:p>
    <w:p w14:paraId="614B98F3" w14:textId="77777777" w:rsidR="00060BF7" w:rsidRDefault="00060BF7" w:rsidP="00DE1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2C378BEE" w14:textId="77777777" w:rsidR="00DE130C" w:rsidRDefault="00DE130C" w:rsidP="00DE1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Pr>
          <w:b/>
        </w:rPr>
        <w:t xml:space="preserve">List of Figures </w:t>
      </w:r>
    </w:p>
    <w:p w14:paraId="69FFE148" w14:textId="77777777" w:rsidR="00514F4F" w:rsidRDefault="00514F4F" w:rsidP="00DE1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18726D5C" w14:textId="77777777" w:rsidR="00601574" w:rsidRDefault="00601574" w:rsidP="00601574">
      <w:pPr>
        <w:ind w:left="720" w:hanging="720"/>
      </w:pPr>
      <w:r w:rsidRPr="00601574">
        <w:t>Figure 1</w:t>
      </w:r>
      <w:r w:rsidRPr="00601574">
        <w:tab/>
        <w:t xml:space="preserve">Distribution of Suppliers’ Customers in the CL&amp;P Region by Price </w:t>
      </w:r>
    </w:p>
    <w:p w14:paraId="78DA32F7" w14:textId="77777777" w:rsidR="00601574" w:rsidRPr="00601574" w:rsidRDefault="00601574" w:rsidP="00601574">
      <w:pPr>
        <w:ind w:left="720" w:hanging="720"/>
      </w:pPr>
    </w:p>
    <w:p w14:paraId="65E2380C" w14:textId="77777777" w:rsidR="00601574" w:rsidRDefault="00601574" w:rsidP="00601574">
      <w:pPr>
        <w:ind w:left="1440" w:hanging="1440"/>
      </w:pPr>
      <w:r w:rsidRPr="00601574">
        <w:t>Figure 2</w:t>
      </w:r>
      <w:r w:rsidRPr="00601574">
        <w:tab/>
        <w:t>Almost Nine Out of Ten Supplier Customers Pay More than the Standard Offer: CL&amp;P Territory</w:t>
      </w:r>
    </w:p>
    <w:p w14:paraId="328D0A30" w14:textId="77777777" w:rsidR="00601574" w:rsidRPr="00601574" w:rsidRDefault="00601574" w:rsidP="00601574">
      <w:pPr>
        <w:ind w:left="1440" w:hanging="1440"/>
      </w:pPr>
    </w:p>
    <w:p w14:paraId="67CCA781" w14:textId="77777777" w:rsidR="00601574" w:rsidRDefault="00601574" w:rsidP="00601574">
      <w:pPr>
        <w:ind w:left="720" w:hanging="720"/>
      </w:pPr>
      <w:r w:rsidRPr="00601574">
        <w:t>Figure 3</w:t>
      </w:r>
      <w:r w:rsidRPr="00601574">
        <w:tab/>
        <w:t>Distribution</w:t>
      </w:r>
      <w:r w:rsidR="00514F4F">
        <w:t xml:space="preserve"> </w:t>
      </w:r>
      <w:r w:rsidRPr="00601574">
        <w:t xml:space="preserve">of Suppliers’ Customers in the UI Region by Price </w:t>
      </w:r>
    </w:p>
    <w:p w14:paraId="3142F86D" w14:textId="77777777" w:rsidR="00601574" w:rsidRPr="00601574" w:rsidRDefault="00601574" w:rsidP="00601574">
      <w:pPr>
        <w:ind w:left="720" w:hanging="720"/>
      </w:pPr>
    </w:p>
    <w:p w14:paraId="71412B09" w14:textId="77777777" w:rsidR="00601574" w:rsidRPr="00601574" w:rsidRDefault="00601574" w:rsidP="00601574">
      <w:pPr>
        <w:ind w:left="720" w:hanging="720"/>
      </w:pPr>
      <w:r w:rsidRPr="00601574">
        <w:t>Figure 4</w:t>
      </w:r>
      <w:r w:rsidRPr="00601574">
        <w:tab/>
        <w:t>Seven Out of Ten Supplier Customers Pay More than the Standard Offer:</w:t>
      </w:r>
    </w:p>
    <w:p w14:paraId="6C1CF65F" w14:textId="77777777" w:rsidR="00601574" w:rsidRDefault="00601574" w:rsidP="00601574">
      <w:pPr>
        <w:ind w:left="720" w:firstLine="720"/>
      </w:pPr>
      <w:r w:rsidRPr="00601574">
        <w:t>UI Territory</w:t>
      </w:r>
    </w:p>
    <w:p w14:paraId="2E248F54" w14:textId="77777777" w:rsidR="00C125E0" w:rsidRDefault="00C125E0" w:rsidP="00601574">
      <w:pPr>
        <w:ind w:left="720" w:firstLine="720"/>
      </w:pPr>
    </w:p>
    <w:p w14:paraId="4B9B43E2" w14:textId="77777777" w:rsidR="00C125E0" w:rsidRPr="00601574" w:rsidRDefault="00C125E0" w:rsidP="00601574">
      <w:pPr>
        <w:ind w:left="720" w:firstLine="720"/>
      </w:pPr>
    </w:p>
    <w:p w14:paraId="1E88220D" w14:textId="77777777" w:rsidR="00FB58AF" w:rsidRPr="00AC7EA0" w:rsidRDefault="00AC7EA0" w:rsidP="002607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Pr>
          <w:b/>
        </w:rPr>
        <w:t>List of Attachments</w:t>
      </w:r>
    </w:p>
    <w:p w14:paraId="678F043E" w14:textId="77777777" w:rsidR="00BE51AF" w:rsidRDefault="00BE51AF" w:rsidP="002607B5">
      <w:pPr>
        <w:spacing w:line="360" w:lineRule="auto"/>
        <w:jc w:val="both"/>
      </w:pPr>
    </w:p>
    <w:p w14:paraId="74A2AF36" w14:textId="77777777" w:rsidR="009E6BD5" w:rsidRDefault="00FB58AF" w:rsidP="00310B26">
      <w:pPr>
        <w:spacing w:line="360" w:lineRule="auto"/>
        <w:ind w:left="2880" w:hanging="2880"/>
        <w:jc w:val="both"/>
      </w:pPr>
      <w:r>
        <w:t>Attachment A</w:t>
      </w:r>
      <w:r>
        <w:tab/>
      </w:r>
      <w:r w:rsidR="000A7E84">
        <w:t>Statement of Qualifications</w:t>
      </w:r>
      <w:r w:rsidR="009E6BD5">
        <w:t xml:space="preserve"> of Susan M. Baldwin</w:t>
      </w:r>
    </w:p>
    <w:p w14:paraId="2028B204" w14:textId="77777777" w:rsidR="009E6BD5" w:rsidRDefault="009E6BD5" w:rsidP="00310B26">
      <w:pPr>
        <w:spacing w:line="360" w:lineRule="auto"/>
        <w:ind w:left="2880" w:hanging="2880"/>
        <w:jc w:val="both"/>
      </w:pPr>
      <w:r>
        <w:t>Attachment B</w:t>
      </w:r>
      <w:r>
        <w:tab/>
        <w:t>Statement of Qualifications of Helen E. Golding</w:t>
      </w:r>
    </w:p>
    <w:p w14:paraId="5441FF9F" w14:textId="77777777" w:rsidR="005904F7" w:rsidRDefault="005904F7" w:rsidP="00DE064E">
      <w:pPr>
        <w:spacing w:line="360" w:lineRule="auto"/>
        <w:ind w:left="2160" w:hanging="2160"/>
        <w:jc w:val="both"/>
      </w:pPr>
      <w:bookmarkStart w:id="1" w:name="_Toc135124165"/>
      <w:bookmarkStart w:id="2" w:name="_Toc135192260"/>
    </w:p>
    <w:p w14:paraId="02F84B23" w14:textId="77777777" w:rsidR="00D8609E" w:rsidRDefault="00D8609E" w:rsidP="002607B5">
      <w:pPr>
        <w:ind w:left="4320" w:hanging="4320"/>
        <w:jc w:val="both"/>
        <w:rPr>
          <w:b/>
        </w:rPr>
      </w:pPr>
    </w:p>
    <w:p w14:paraId="0A671F10" w14:textId="77777777" w:rsidR="0097777B" w:rsidRDefault="0097777B" w:rsidP="00060B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Pr>
          <w:b/>
        </w:rPr>
        <w:t>List of Exhibits</w:t>
      </w:r>
    </w:p>
    <w:p w14:paraId="311F55C6" w14:textId="77777777" w:rsidR="0097777B" w:rsidRPr="00AC7EA0" w:rsidRDefault="0097777B" w:rsidP="00060B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1A2A56CD" w14:textId="77777777" w:rsidR="001264A8" w:rsidRDefault="001264A8" w:rsidP="001264A8">
      <w:r>
        <w:rPr>
          <w:color w:val="000000"/>
        </w:rPr>
        <w:t xml:space="preserve">Exhibit 1-A </w:t>
      </w:r>
      <w:r>
        <w:rPr>
          <w:color w:val="000000"/>
        </w:rPr>
        <w:tab/>
      </w:r>
      <w:r w:rsidR="00074333">
        <w:rPr>
          <w:color w:val="000000"/>
        </w:rPr>
        <w:tab/>
      </w:r>
      <w:r w:rsidR="00445AD0">
        <w:rPr>
          <w:color w:val="000000"/>
        </w:rPr>
        <w:tab/>
      </w:r>
      <w:r>
        <w:rPr>
          <w:color w:val="000000"/>
        </w:rPr>
        <w:t>Q</w:t>
      </w:r>
      <w:r>
        <w:t xml:space="preserve">uantities of </w:t>
      </w:r>
      <w:r w:rsidRPr="007F11F6">
        <w:t>complaint</w:t>
      </w:r>
      <w:r>
        <w:t>s</w:t>
      </w:r>
      <w:r w:rsidRPr="007F11F6">
        <w:t xml:space="preserve"> </w:t>
      </w:r>
      <w:r>
        <w:t xml:space="preserve">separately </w:t>
      </w:r>
      <w:r w:rsidRPr="007F11F6">
        <w:t xml:space="preserve">by municipality </w:t>
      </w:r>
      <w:r>
        <w:t>(alphabetical)</w:t>
      </w:r>
    </w:p>
    <w:p w14:paraId="6550C4CF" w14:textId="77777777" w:rsidR="001264A8" w:rsidRDefault="001264A8" w:rsidP="001264A8">
      <w:pPr>
        <w:rPr>
          <w:color w:val="000000"/>
        </w:rPr>
      </w:pPr>
    </w:p>
    <w:p w14:paraId="669B2295" w14:textId="77777777" w:rsidR="001264A8" w:rsidRDefault="001264A8" w:rsidP="00074333">
      <w:pPr>
        <w:ind w:left="2880" w:hanging="2880"/>
        <w:rPr>
          <w:color w:val="000000"/>
        </w:rPr>
      </w:pPr>
      <w:r>
        <w:rPr>
          <w:color w:val="000000"/>
        </w:rPr>
        <w:t xml:space="preserve">Exhibit </w:t>
      </w:r>
      <w:r w:rsidR="00445AD0">
        <w:rPr>
          <w:color w:val="000000"/>
        </w:rPr>
        <w:t xml:space="preserve">1-B </w:t>
      </w:r>
      <w:r w:rsidR="00445AD0">
        <w:rPr>
          <w:color w:val="000000"/>
        </w:rPr>
        <w:tab/>
      </w:r>
      <w:r>
        <w:rPr>
          <w:color w:val="000000"/>
        </w:rPr>
        <w:t>Q</w:t>
      </w:r>
      <w:r>
        <w:t xml:space="preserve">uantities of </w:t>
      </w:r>
      <w:r w:rsidRPr="007F11F6">
        <w:t>complaint</w:t>
      </w:r>
      <w:r>
        <w:t>s</w:t>
      </w:r>
      <w:r w:rsidRPr="007F11F6">
        <w:t xml:space="preserve"> </w:t>
      </w:r>
      <w:r>
        <w:t xml:space="preserve">separately </w:t>
      </w:r>
      <w:r w:rsidRPr="007F11F6">
        <w:t>by municipality</w:t>
      </w:r>
      <w:r>
        <w:t xml:space="preserve"> (ranked by</w:t>
      </w:r>
      <w:r w:rsidR="007A1ADB">
        <w:t xml:space="preserve"> the quantity of complaints per 1</w:t>
      </w:r>
      <w:r w:rsidRPr="007F11F6">
        <w:t>,000 residents</w:t>
      </w:r>
      <w:r>
        <w:t>)</w:t>
      </w:r>
    </w:p>
    <w:p w14:paraId="688AAD81" w14:textId="77777777" w:rsidR="001264A8" w:rsidRDefault="001264A8" w:rsidP="001264A8">
      <w:pPr>
        <w:widowControl/>
        <w:autoSpaceDE/>
        <w:autoSpaceDN/>
        <w:adjustRightInd/>
        <w:ind w:left="3600" w:hanging="3600"/>
        <w:jc w:val="both"/>
        <w:rPr>
          <w:bCs/>
          <w:color w:val="000000"/>
        </w:rPr>
      </w:pPr>
    </w:p>
    <w:p w14:paraId="2B2F25FA" w14:textId="77777777" w:rsidR="001264A8" w:rsidRDefault="001264A8" w:rsidP="00090AF3">
      <w:pPr>
        <w:widowControl/>
        <w:autoSpaceDE/>
        <w:autoSpaceDN/>
        <w:adjustRightInd/>
        <w:ind w:left="2880" w:hanging="2880"/>
        <w:jc w:val="both"/>
        <w:rPr>
          <w:bCs/>
          <w:color w:val="000000"/>
        </w:rPr>
      </w:pPr>
      <w:r w:rsidRPr="009F4369">
        <w:rPr>
          <w:bCs/>
          <w:color w:val="000000"/>
        </w:rPr>
        <w:t>Exhibit</w:t>
      </w:r>
      <w:r w:rsidR="00AD6779">
        <w:rPr>
          <w:bCs/>
          <w:color w:val="000000"/>
        </w:rPr>
        <w:t xml:space="preserve"> </w:t>
      </w:r>
      <w:r>
        <w:rPr>
          <w:bCs/>
          <w:color w:val="000000"/>
        </w:rPr>
        <w:t>2</w:t>
      </w:r>
      <w:r w:rsidR="00090AF3">
        <w:rPr>
          <w:bCs/>
          <w:color w:val="000000"/>
        </w:rPr>
        <w:tab/>
      </w:r>
      <w:r>
        <w:rPr>
          <w:bCs/>
          <w:color w:val="000000"/>
        </w:rPr>
        <w:t>Matrix Showing Complaints by Municipality and Suppl</w:t>
      </w:r>
      <w:r w:rsidR="00DE064E">
        <w:rPr>
          <w:bCs/>
          <w:color w:val="000000"/>
        </w:rPr>
        <w:t>i</w:t>
      </w:r>
      <w:r>
        <w:rPr>
          <w:bCs/>
          <w:color w:val="000000"/>
        </w:rPr>
        <w:t>er</w:t>
      </w:r>
    </w:p>
    <w:p w14:paraId="4AD0A1D1" w14:textId="77777777" w:rsidR="001264A8" w:rsidRDefault="001264A8" w:rsidP="001264A8">
      <w:pPr>
        <w:widowControl/>
        <w:autoSpaceDE/>
        <w:autoSpaceDN/>
        <w:adjustRightInd/>
        <w:ind w:left="3600" w:hanging="3600"/>
        <w:jc w:val="both"/>
      </w:pPr>
    </w:p>
    <w:p w14:paraId="40DC9908" w14:textId="77777777" w:rsidR="001264A8" w:rsidRDefault="001264A8" w:rsidP="001264A8">
      <w:pPr>
        <w:jc w:val="both"/>
      </w:pPr>
      <w:r>
        <w:t>Exhibit 3</w:t>
      </w:r>
      <w:r>
        <w:tab/>
      </w:r>
      <w:r w:rsidR="00074333">
        <w:tab/>
      </w:r>
      <w:r w:rsidR="00445AD0">
        <w:tab/>
      </w:r>
      <w:r>
        <w:t>Compilation of Illustrative Consumer Complaints</w:t>
      </w:r>
    </w:p>
    <w:p w14:paraId="69E79408" w14:textId="77777777" w:rsidR="001264A8" w:rsidRDefault="001264A8" w:rsidP="001264A8">
      <w:pPr>
        <w:jc w:val="both"/>
      </w:pPr>
    </w:p>
    <w:p w14:paraId="7426E5B9" w14:textId="77777777" w:rsidR="001264A8" w:rsidRDefault="001264A8" w:rsidP="001264A8">
      <w:pPr>
        <w:jc w:val="both"/>
      </w:pPr>
      <w:r>
        <w:t xml:space="preserve">Exhibit </w:t>
      </w:r>
      <w:r w:rsidR="002C2583">
        <w:t>4</w:t>
      </w:r>
      <w:r>
        <w:tab/>
      </w:r>
      <w:r w:rsidR="00074333">
        <w:tab/>
      </w:r>
      <w:r w:rsidR="00445AD0">
        <w:tab/>
      </w:r>
      <w:r>
        <w:t>Complaint from East Hampton Housing Authority</w:t>
      </w:r>
    </w:p>
    <w:p w14:paraId="1347DCDA" w14:textId="77777777" w:rsidR="001264A8" w:rsidRDefault="001264A8" w:rsidP="001264A8"/>
    <w:p w14:paraId="46F04760" w14:textId="77777777" w:rsidR="001264A8" w:rsidRDefault="002C2583" w:rsidP="001264A8">
      <w:pPr>
        <w:ind w:left="720" w:hanging="720"/>
      </w:pPr>
      <w:r>
        <w:t>Confidential Exhibit C-5</w:t>
      </w:r>
      <w:r w:rsidR="001264A8">
        <w:tab/>
        <w:t>Complete list of</w:t>
      </w:r>
      <w:r w:rsidR="00A93FF2">
        <w:t xml:space="preserve"> Supplier</w:t>
      </w:r>
      <w:r w:rsidR="001264A8">
        <w:t xml:space="preserve">s and weighted average prices </w:t>
      </w:r>
    </w:p>
    <w:p w14:paraId="0AEEFFDA" w14:textId="77777777" w:rsidR="001264A8" w:rsidRDefault="001264A8" w:rsidP="001264A8">
      <w:pPr>
        <w:jc w:val="both"/>
      </w:pPr>
      <w:r>
        <w:tab/>
      </w:r>
      <w:r>
        <w:tab/>
        <w:t xml:space="preserve"> </w:t>
      </w:r>
    </w:p>
    <w:p w14:paraId="0DD9F6BC" w14:textId="77777777" w:rsidR="001264A8" w:rsidRDefault="001264A8" w:rsidP="001264A8"/>
    <w:p w14:paraId="7DDB4809" w14:textId="77777777" w:rsidR="00713568" w:rsidRPr="009F4369" w:rsidRDefault="00713568" w:rsidP="002607B5">
      <w:pPr>
        <w:sectPr w:rsidR="00713568" w:rsidRPr="009F4369" w:rsidSect="00D8609E">
          <w:headerReference w:type="default" r:id="rId13"/>
          <w:footerReference w:type="default" r:id="rId14"/>
          <w:headerReference w:type="first" r:id="rId15"/>
          <w:pgSz w:w="12240" w:h="15840" w:code="1"/>
          <w:pgMar w:top="1440" w:right="1440" w:bottom="1440" w:left="1440" w:header="1440" w:footer="1440" w:gutter="0"/>
          <w:pgNumType w:fmt="lowerRoman" w:start="1"/>
          <w:cols w:space="720"/>
          <w:noEndnote/>
        </w:sectPr>
      </w:pPr>
    </w:p>
    <w:p w14:paraId="606774E2" w14:textId="77777777" w:rsidR="00497527" w:rsidRPr="00490CE4" w:rsidRDefault="00497527" w:rsidP="00490CE4">
      <w:pPr>
        <w:pStyle w:val="ListParagraph"/>
        <w:numPr>
          <w:ilvl w:val="0"/>
          <w:numId w:val="50"/>
        </w:numPr>
        <w:outlineLvl w:val="0"/>
        <w:rPr>
          <w:b/>
        </w:rPr>
      </w:pPr>
      <w:bookmarkStart w:id="3" w:name="_Toc156089498"/>
      <w:bookmarkStart w:id="4" w:name="_Toc373952985"/>
      <w:bookmarkStart w:id="5" w:name="_Toc382029112"/>
      <w:r w:rsidRPr="00490CE4">
        <w:rPr>
          <w:b/>
        </w:rPr>
        <w:t>INTRODUCTION</w:t>
      </w:r>
      <w:bookmarkEnd w:id="1"/>
      <w:bookmarkEnd w:id="2"/>
      <w:bookmarkEnd w:id="3"/>
      <w:bookmarkEnd w:id="4"/>
      <w:bookmarkEnd w:id="5"/>
    </w:p>
    <w:p w14:paraId="7BFBE66D" w14:textId="77777777" w:rsidR="00497527" w:rsidRDefault="00497527" w:rsidP="0009426F">
      <w:pPr>
        <w:pStyle w:val="BodyText2"/>
        <w:spacing w:line="480" w:lineRule="exact"/>
        <w:ind w:left="720" w:hanging="720"/>
        <w:outlineLvl w:val="1"/>
        <w:rPr>
          <w:b/>
        </w:rPr>
      </w:pPr>
      <w:bookmarkStart w:id="6" w:name="_Toc135124166"/>
      <w:bookmarkStart w:id="7" w:name="_Toc135192261"/>
      <w:bookmarkStart w:id="8" w:name="_Toc156089499"/>
      <w:bookmarkStart w:id="9" w:name="_Toc373952986"/>
      <w:bookmarkStart w:id="10" w:name="_Toc382029113"/>
      <w:r>
        <w:rPr>
          <w:b/>
        </w:rPr>
        <w:t>Qualifications</w:t>
      </w:r>
      <w:bookmarkEnd w:id="6"/>
      <w:bookmarkEnd w:id="7"/>
      <w:bookmarkEnd w:id="8"/>
      <w:bookmarkEnd w:id="9"/>
      <w:bookmarkEnd w:id="10"/>
    </w:p>
    <w:p w14:paraId="09C3EC1F" w14:textId="77777777" w:rsidR="00DC2B0C" w:rsidRPr="00DC2B0C" w:rsidRDefault="00DC2B0C" w:rsidP="005904F7">
      <w:pPr>
        <w:pStyle w:val="BodyText2"/>
        <w:spacing w:line="480" w:lineRule="exact"/>
        <w:ind w:left="720" w:hanging="720"/>
        <w:rPr>
          <w:b/>
        </w:rPr>
      </w:pPr>
      <w:r w:rsidRPr="00DC2B0C">
        <w:rPr>
          <w:b/>
        </w:rPr>
        <w:t>Q:</w:t>
      </w:r>
      <w:r w:rsidRPr="00DC2B0C">
        <w:rPr>
          <w:b/>
        </w:rPr>
        <w:tab/>
      </w:r>
      <w:r w:rsidR="004D0C47">
        <w:rPr>
          <w:b/>
        </w:rPr>
        <w:t>Ple</w:t>
      </w:r>
      <w:r w:rsidR="00256C66">
        <w:rPr>
          <w:b/>
        </w:rPr>
        <w:t>ase state you</w:t>
      </w:r>
      <w:r w:rsidR="004D0C47">
        <w:rPr>
          <w:b/>
        </w:rPr>
        <w:t>r name, position, and business address.</w:t>
      </w:r>
      <w:r w:rsidRPr="00DC2B0C">
        <w:rPr>
          <w:b/>
        </w:rPr>
        <w:tab/>
      </w:r>
      <w:r w:rsidRPr="00DC2B0C">
        <w:rPr>
          <w:b/>
        </w:rPr>
        <w:tab/>
      </w:r>
      <w:r w:rsidRPr="00DC2B0C">
        <w:rPr>
          <w:b/>
        </w:rPr>
        <w:tab/>
      </w:r>
    </w:p>
    <w:p w14:paraId="3C4612F1" w14:textId="77777777" w:rsidR="004D0C47" w:rsidRDefault="00DC2B0C" w:rsidP="005904F7">
      <w:pPr>
        <w:pStyle w:val="BodyText2"/>
        <w:spacing w:line="480" w:lineRule="exact"/>
        <w:ind w:left="720" w:hanging="720"/>
      </w:pPr>
      <w:r w:rsidRPr="00DC2B0C">
        <w:t>A:</w:t>
      </w:r>
      <w:r w:rsidRPr="00DC2B0C">
        <w:tab/>
      </w:r>
      <w:r w:rsidR="004D0C47">
        <w:t>My name is Susan M. Baldwin.  I am a consultant, and my business address is 17 Arlington Street, Newburyport, M</w:t>
      </w:r>
      <w:r w:rsidR="00FD74FC">
        <w:t>assachusetts</w:t>
      </w:r>
      <w:r w:rsidR="004D0C47">
        <w:t xml:space="preserve">, 01950.  </w:t>
      </w:r>
      <w:r w:rsidR="003402C3">
        <w:t xml:space="preserve">Since 1984, </w:t>
      </w:r>
      <w:r w:rsidR="004D0C47">
        <w:t xml:space="preserve">I </w:t>
      </w:r>
      <w:r w:rsidR="003402C3">
        <w:t xml:space="preserve">have been </w:t>
      </w:r>
      <w:r w:rsidR="004D0C47">
        <w:t>specializ</w:t>
      </w:r>
      <w:r w:rsidR="003402C3">
        <w:t>ing</w:t>
      </w:r>
      <w:r w:rsidR="004D0C47">
        <w:t xml:space="preserve"> in </w:t>
      </w:r>
      <w:r w:rsidR="005904F7">
        <w:t xml:space="preserve">the </w:t>
      </w:r>
      <w:r w:rsidR="004D0C47">
        <w:t>economics, regulation, and public policy</w:t>
      </w:r>
      <w:r w:rsidR="005904F7">
        <w:t xml:space="preserve"> of </w:t>
      </w:r>
      <w:r w:rsidR="00BD5534">
        <w:t>telecommunications.  S</w:t>
      </w:r>
      <w:r w:rsidR="003402C3">
        <w:t>ince 2001, I have been consulting</w:t>
      </w:r>
      <w:r w:rsidR="004D0C47">
        <w:t xml:space="preserve"> to public sector agencies</w:t>
      </w:r>
      <w:r w:rsidR="005D7B0B">
        <w:t xml:space="preserve"> and consumer advocates</w:t>
      </w:r>
      <w:r w:rsidR="003402C3">
        <w:t xml:space="preserve"> as an independent consultant</w:t>
      </w:r>
      <w:r w:rsidR="004D0C47">
        <w:t>.</w:t>
      </w:r>
    </w:p>
    <w:p w14:paraId="67516B6F" w14:textId="77777777" w:rsidR="004D0C47" w:rsidRDefault="004D0C47" w:rsidP="00FD74FC">
      <w:pPr>
        <w:pStyle w:val="BodyText2"/>
        <w:spacing w:line="480" w:lineRule="exact"/>
        <w:ind w:left="720" w:hanging="720"/>
        <w:jc w:val="both"/>
        <w:rPr>
          <w:b/>
        </w:rPr>
      </w:pPr>
      <w:r>
        <w:rPr>
          <w:b/>
        </w:rPr>
        <w:t>Q:</w:t>
      </w:r>
      <w:r>
        <w:rPr>
          <w:b/>
        </w:rPr>
        <w:tab/>
        <w:t>Please summarize your educational background and professional experience.</w:t>
      </w:r>
    </w:p>
    <w:p w14:paraId="399370E5" w14:textId="77777777" w:rsidR="00D33EEB" w:rsidRDefault="004D0C47" w:rsidP="00FD74FC">
      <w:pPr>
        <w:pStyle w:val="BodyText2"/>
        <w:spacing w:line="480" w:lineRule="exact"/>
        <w:jc w:val="both"/>
      </w:pPr>
      <w:r>
        <w:t>A:</w:t>
      </w:r>
      <w:r>
        <w:tab/>
        <w:t>I have prepared a Statement of Qualifications, which is included as Attachment A</w:t>
      </w:r>
      <w:r w:rsidR="00056967">
        <w:t>.</w:t>
      </w:r>
    </w:p>
    <w:p w14:paraId="685EC66C" w14:textId="77777777" w:rsidR="00662941" w:rsidRDefault="00662941" w:rsidP="00662941">
      <w:pPr>
        <w:pStyle w:val="BodyText2"/>
        <w:spacing w:line="480" w:lineRule="exact"/>
        <w:ind w:left="720" w:hanging="720"/>
        <w:jc w:val="both"/>
        <w:rPr>
          <w:b/>
        </w:rPr>
      </w:pPr>
      <w:r>
        <w:rPr>
          <w:b/>
        </w:rPr>
        <w:t>Q:</w:t>
      </w:r>
      <w:r>
        <w:rPr>
          <w:b/>
        </w:rPr>
        <w:tab/>
        <w:t>Have you testified previously before the Public Utilities Regulatory Authority (“PURA”)</w:t>
      </w:r>
      <w:r w:rsidR="0006466F">
        <w:rPr>
          <w:b/>
        </w:rPr>
        <w:t xml:space="preserve"> or the Department of Public Utility control (“DPUC”)</w:t>
      </w:r>
      <w:r>
        <w:rPr>
          <w:b/>
        </w:rPr>
        <w:t>?</w:t>
      </w:r>
    </w:p>
    <w:p w14:paraId="16EF1725" w14:textId="77777777" w:rsidR="00662941" w:rsidRDefault="00662941" w:rsidP="00662941">
      <w:pPr>
        <w:pStyle w:val="BodyText2"/>
        <w:spacing w:line="480" w:lineRule="exact"/>
        <w:ind w:left="720" w:hanging="720"/>
        <w:rPr>
          <w:szCs w:val="22"/>
        </w:rPr>
      </w:pPr>
      <w:r>
        <w:t>A:</w:t>
      </w:r>
      <w:r>
        <w:tab/>
      </w:r>
      <w:r w:rsidR="0006466F">
        <w:t xml:space="preserve">Yes.   </w:t>
      </w:r>
      <w:r w:rsidR="00495C94">
        <w:t xml:space="preserve">In 1992, I testified in Docket No. 91-10-06 regarding the </w:t>
      </w:r>
      <w:r w:rsidR="0006466F">
        <w:t>DPUC’s</w:t>
      </w:r>
      <w:r w:rsidR="00495C94">
        <w:t xml:space="preserve"> review and</w:t>
      </w:r>
      <w:r>
        <w:t xml:space="preserve"> </w:t>
      </w:r>
      <w:r w:rsidR="00495C94">
        <w:t xml:space="preserve">management audit of construction programs of Connecticut's telecommunications local exchange carriers, on behalf of the Office of the Consumer Counsel (“OCC”). </w:t>
      </w:r>
      <w:r w:rsidR="008D0D82">
        <w:t xml:space="preserve">  </w:t>
      </w:r>
      <w:r w:rsidR="00495C94">
        <w:t>In 1993, I testified on behalf of the OCC regarding the Application of the Southern New England Telephone Company to amend its rates and rate structure (Docket No. 92-09-1</w:t>
      </w:r>
      <w:r w:rsidR="0006466F">
        <w:t xml:space="preserve">9).  </w:t>
      </w:r>
      <w:r w:rsidR="00495C94">
        <w:t>I</w:t>
      </w:r>
      <w:r>
        <w:t xml:space="preserve"> </w:t>
      </w:r>
      <w:r w:rsidR="00495C94">
        <w:t>testified on behalf of the OCC in 1998 regarding the Joint Application of SBC Communications and Southern New England Telecommunications Corporation for Approval of a Change of Control (Docket No. 98-02-20) and in 1999 regarding the Application of New York Telephone Company for Alternative Rate Regulation (Docket No. 99-03-06).</w:t>
      </w:r>
      <w:r>
        <w:t xml:space="preserve">  In 2009, I testified</w:t>
      </w:r>
      <w:r w:rsidRPr="00662941">
        <w:rPr>
          <w:szCs w:val="22"/>
        </w:rPr>
        <w:t xml:space="preserve"> </w:t>
      </w:r>
      <w:r>
        <w:rPr>
          <w:szCs w:val="22"/>
        </w:rPr>
        <w:t xml:space="preserve">on behalf of the Communications Workers of America, Local 1298 in both phases of the investigation of the </w:t>
      </w:r>
      <w:r w:rsidRPr="00F84542">
        <w:rPr>
          <w:szCs w:val="22"/>
        </w:rPr>
        <w:t xml:space="preserve">Petition of the Office of Consumer Counsel for Enforcement of Quality of Service Standards for the Southern New England Telephone Company d/b/a AT&amp;T Connecticut </w:t>
      </w:r>
      <w:r>
        <w:rPr>
          <w:szCs w:val="22"/>
        </w:rPr>
        <w:t xml:space="preserve">(DPUC </w:t>
      </w:r>
      <w:r w:rsidRPr="00F84542">
        <w:rPr>
          <w:szCs w:val="22"/>
        </w:rPr>
        <w:t>Docket No. 08-07-15</w:t>
      </w:r>
      <w:r>
        <w:rPr>
          <w:szCs w:val="22"/>
        </w:rPr>
        <w:t xml:space="preserve">). </w:t>
      </w:r>
    </w:p>
    <w:p w14:paraId="6D57AE38" w14:textId="77777777" w:rsidR="00632046" w:rsidRPr="00DC2B0C" w:rsidRDefault="00632046" w:rsidP="00632046">
      <w:pPr>
        <w:pStyle w:val="BodyText2"/>
        <w:spacing w:line="480" w:lineRule="exact"/>
        <w:ind w:left="720" w:hanging="720"/>
        <w:rPr>
          <w:b/>
        </w:rPr>
      </w:pPr>
      <w:r w:rsidRPr="00DC2B0C">
        <w:rPr>
          <w:b/>
        </w:rPr>
        <w:t>Q:</w:t>
      </w:r>
      <w:r w:rsidRPr="00DC2B0C">
        <w:rPr>
          <w:b/>
        </w:rPr>
        <w:tab/>
      </w:r>
      <w:r>
        <w:rPr>
          <w:b/>
        </w:rPr>
        <w:t>Please state your name, position, and business address.</w:t>
      </w:r>
      <w:r w:rsidRPr="00DC2B0C">
        <w:rPr>
          <w:b/>
        </w:rPr>
        <w:tab/>
      </w:r>
      <w:r w:rsidRPr="00DC2B0C">
        <w:rPr>
          <w:b/>
        </w:rPr>
        <w:tab/>
      </w:r>
      <w:r w:rsidRPr="00DC2B0C">
        <w:rPr>
          <w:b/>
        </w:rPr>
        <w:tab/>
      </w:r>
    </w:p>
    <w:p w14:paraId="57C39AFF" w14:textId="77777777" w:rsidR="00632046" w:rsidRDefault="00632046" w:rsidP="00632046">
      <w:pPr>
        <w:pStyle w:val="BodyText2"/>
        <w:spacing w:line="480" w:lineRule="exact"/>
        <w:ind w:left="720" w:hanging="720"/>
      </w:pPr>
      <w:r w:rsidRPr="00DC2B0C">
        <w:t>A:</w:t>
      </w:r>
      <w:r w:rsidRPr="00DC2B0C">
        <w:tab/>
      </w:r>
      <w:r>
        <w:t>My name is Helen E.</w:t>
      </w:r>
      <w:r w:rsidR="00665A00">
        <w:t xml:space="preserve"> </w:t>
      </w:r>
      <w:r>
        <w:t xml:space="preserve">Golding.  I am a consultant, and my business address is 18 Louise Rd., Belmont, Massachusetts, 02478.  Since 1977, I have been specializing in the law, regulation, and public policy of public utilities.  While my work has focused primarily on telecommunications, as Assistant General Counsel and Acting General Counsel at the Massachusetts </w:t>
      </w:r>
      <w:r w:rsidR="00EE0D7E">
        <w:t xml:space="preserve">Department </w:t>
      </w:r>
      <w:r>
        <w:t xml:space="preserve">of Public Utilities, I </w:t>
      </w:r>
      <w:r w:rsidR="00EE0D7E">
        <w:t xml:space="preserve">also </w:t>
      </w:r>
      <w:r>
        <w:t xml:space="preserve">had responsibility for reviewing matters involving electric, gas, water, and transportation companies, as well as adjudicated consumer complaints.  </w:t>
      </w:r>
    </w:p>
    <w:p w14:paraId="061DFDD6" w14:textId="77777777" w:rsidR="00632046" w:rsidRDefault="00632046" w:rsidP="00632046">
      <w:pPr>
        <w:pStyle w:val="BodyText2"/>
        <w:spacing w:line="480" w:lineRule="exact"/>
        <w:ind w:left="720" w:hanging="720"/>
        <w:jc w:val="both"/>
        <w:rPr>
          <w:b/>
        </w:rPr>
      </w:pPr>
      <w:r>
        <w:rPr>
          <w:b/>
        </w:rPr>
        <w:t>Q:</w:t>
      </w:r>
      <w:r>
        <w:rPr>
          <w:b/>
        </w:rPr>
        <w:tab/>
        <w:t>Please summarize your educational background and professional experience.</w:t>
      </w:r>
    </w:p>
    <w:p w14:paraId="479F9C03" w14:textId="77777777" w:rsidR="00632046" w:rsidRDefault="00632046" w:rsidP="00632046">
      <w:pPr>
        <w:pStyle w:val="BodyText2"/>
        <w:spacing w:line="480" w:lineRule="exact"/>
        <w:jc w:val="both"/>
      </w:pPr>
      <w:r>
        <w:t>A:</w:t>
      </w:r>
      <w:r>
        <w:tab/>
        <w:t>I have prepared a Statement of Qualifications, which is included as Attachment B.</w:t>
      </w:r>
    </w:p>
    <w:p w14:paraId="5130EB71" w14:textId="77777777" w:rsidR="00632046" w:rsidRDefault="00632046" w:rsidP="00632046">
      <w:pPr>
        <w:pStyle w:val="BodyText2"/>
        <w:spacing w:line="480" w:lineRule="exact"/>
        <w:ind w:left="720" w:hanging="720"/>
        <w:jc w:val="both"/>
        <w:rPr>
          <w:b/>
        </w:rPr>
      </w:pPr>
      <w:r>
        <w:rPr>
          <w:b/>
        </w:rPr>
        <w:t>Q:</w:t>
      </w:r>
      <w:r>
        <w:rPr>
          <w:b/>
        </w:rPr>
        <w:tab/>
        <w:t xml:space="preserve">Have you submitted evidence previously before </w:t>
      </w:r>
      <w:r w:rsidR="00665A00">
        <w:rPr>
          <w:b/>
        </w:rPr>
        <w:t xml:space="preserve">the </w:t>
      </w:r>
      <w:r>
        <w:rPr>
          <w:b/>
        </w:rPr>
        <w:t>PURA or the DPUC?</w:t>
      </w:r>
    </w:p>
    <w:p w14:paraId="5CC52B69" w14:textId="77777777" w:rsidR="00632046" w:rsidRDefault="00632046" w:rsidP="00632046">
      <w:pPr>
        <w:pStyle w:val="BodyText2"/>
        <w:spacing w:line="480" w:lineRule="exact"/>
        <w:ind w:left="720" w:hanging="720"/>
      </w:pPr>
      <w:r>
        <w:t>A:</w:t>
      </w:r>
      <w:r>
        <w:tab/>
        <w:t>Yes.   I was retained as an expert consultant by the New England Cable Television Association (“NECTA”) to assist in the preparation of comments and position papers in several of the proceedings opened by the DPUC to consider that frameworks for introducing competition into telecommunications in Connecticut and for implementing Public Act 94-83.  In some of this work, I collaborated with other members of the consulting firm, Economics and Technology, Inc., at which I was then employed.</w:t>
      </w:r>
    </w:p>
    <w:p w14:paraId="131F416D" w14:textId="77777777" w:rsidR="00662941" w:rsidRDefault="00662941" w:rsidP="00662941">
      <w:pPr>
        <w:pStyle w:val="BodyText2"/>
        <w:spacing w:line="480" w:lineRule="exact"/>
        <w:ind w:left="720" w:hanging="720"/>
        <w:rPr>
          <w:szCs w:val="22"/>
        </w:rPr>
      </w:pPr>
    </w:p>
    <w:p w14:paraId="311DA3C0" w14:textId="77777777" w:rsidR="00DC2B0C" w:rsidRPr="00DC2B0C" w:rsidRDefault="00DC2B0C" w:rsidP="0009426F">
      <w:pPr>
        <w:pStyle w:val="BodyText2"/>
        <w:spacing w:line="480" w:lineRule="exact"/>
        <w:ind w:left="720" w:hanging="720"/>
        <w:outlineLvl w:val="1"/>
        <w:rPr>
          <w:b/>
        </w:rPr>
      </w:pPr>
      <w:bookmarkStart w:id="11" w:name="_Toc135124167"/>
      <w:bookmarkStart w:id="12" w:name="_Toc135192262"/>
      <w:bookmarkStart w:id="13" w:name="_Toc156089500"/>
      <w:bookmarkStart w:id="14" w:name="_Toc373952987"/>
      <w:bookmarkStart w:id="15" w:name="_Toc382029114"/>
      <w:r w:rsidRPr="00DC2B0C">
        <w:rPr>
          <w:b/>
        </w:rPr>
        <w:t>Assignment</w:t>
      </w:r>
      <w:bookmarkEnd w:id="11"/>
      <w:bookmarkEnd w:id="12"/>
      <w:bookmarkEnd w:id="13"/>
      <w:bookmarkEnd w:id="14"/>
      <w:bookmarkEnd w:id="15"/>
    </w:p>
    <w:p w14:paraId="591FDC95" w14:textId="77777777" w:rsidR="00497527" w:rsidRDefault="00497527" w:rsidP="00A3444E">
      <w:pPr>
        <w:pStyle w:val="BodyText2"/>
        <w:spacing w:line="480" w:lineRule="exact"/>
        <w:ind w:left="720" w:hanging="720"/>
        <w:jc w:val="both"/>
        <w:rPr>
          <w:b/>
        </w:rPr>
      </w:pPr>
      <w:r>
        <w:rPr>
          <w:b/>
        </w:rPr>
        <w:t>Q:</w:t>
      </w:r>
      <w:r>
        <w:rPr>
          <w:b/>
        </w:rPr>
        <w:tab/>
        <w:t>On whose behalf is this testimony being submitted?</w:t>
      </w:r>
    </w:p>
    <w:p w14:paraId="365E262F" w14:textId="77777777" w:rsidR="00662941" w:rsidRDefault="00497527" w:rsidP="007B4EBD">
      <w:pPr>
        <w:pStyle w:val="BodyText2"/>
        <w:spacing w:line="480" w:lineRule="exact"/>
        <w:ind w:left="720" w:hanging="720"/>
      </w:pPr>
      <w:r>
        <w:t>A:</w:t>
      </w:r>
      <w:r>
        <w:tab/>
      </w:r>
      <w:r w:rsidR="007B4EBD">
        <w:t>This testimony is being submitted on behalf of OCC.  OCC asked</w:t>
      </w:r>
      <w:r w:rsidR="00632046">
        <w:t xml:space="preserve"> us </w:t>
      </w:r>
      <w:r w:rsidR="007B4EBD">
        <w:t xml:space="preserve">to assist with </w:t>
      </w:r>
      <w:r w:rsidR="00703E4B">
        <w:t xml:space="preserve">its review of </w:t>
      </w:r>
      <w:r w:rsidR="007B4EBD">
        <w:t>sales and marketing practices</w:t>
      </w:r>
      <w:r w:rsidR="00181E7D">
        <w:t xml:space="preserve"> </w:t>
      </w:r>
      <w:r w:rsidR="00FE72E4">
        <w:t>of companies licensed by PURA to supply electric generation services (“</w:t>
      </w:r>
      <w:r w:rsidR="00B23710">
        <w:t>Suppliers</w:t>
      </w:r>
      <w:r w:rsidR="00FE72E4">
        <w:t xml:space="preserve">”) </w:t>
      </w:r>
      <w:r w:rsidR="00181E7D">
        <w:t xml:space="preserve">and </w:t>
      </w:r>
      <w:r w:rsidR="00FE72E4">
        <w:t xml:space="preserve">with </w:t>
      </w:r>
      <w:r w:rsidR="00181E7D">
        <w:t>its recommendations regarding possible remedies to address consumer harm in the market</w:t>
      </w:r>
      <w:r w:rsidR="007B4EBD">
        <w:t xml:space="preserve">. </w:t>
      </w:r>
      <w:r w:rsidR="00FE72E4">
        <w:t xml:space="preserve"> </w:t>
      </w:r>
    </w:p>
    <w:p w14:paraId="54EB9BAF" w14:textId="77777777" w:rsidR="00243BC4" w:rsidRDefault="00243BC4" w:rsidP="00246055">
      <w:pPr>
        <w:pStyle w:val="BodyText2"/>
        <w:spacing w:line="480" w:lineRule="exact"/>
        <w:ind w:left="720" w:hanging="720"/>
        <w:jc w:val="both"/>
        <w:outlineLvl w:val="1"/>
        <w:rPr>
          <w:b/>
        </w:rPr>
      </w:pPr>
      <w:bookmarkStart w:id="16" w:name="_Toc135124168"/>
      <w:bookmarkStart w:id="17" w:name="_Toc135192263"/>
      <w:bookmarkStart w:id="18" w:name="_Toc156089501"/>
      <w:bookmarkStart w:id="19" w:name="_Toc373952988"/>
    </w:p>
    <w:p w14:paraId="6DC074C5" w14:textId="77777777" w:rsidR="00497527" w:rsidRDefault="00497527" w:rsidP="0009426F">
      <w:pPr>
        <w:pStyle w:val="BodyText2"/>
        <w:spacing w:line="480" w:lineRule="exact"/>
        <w:ind w:left="720" w:hanging="720"/>
        <w:jc w:val="both"/>
        <w:outlineLvl w:val="1"/>
        <w:rPr>
          <w:b/>
        </w:rPr>
      </w:pPr>
      <w:bookmarkStart w:id="20" w:name="_Toc382029115"/>
      <w:r>
        <w:rPr>
          <w:b/>
        </w:rPr>
        <w:t>Summary of Testimony</w:t>
      </w:r>
      <w:bookmarkEnd w:id="16"/>
      <w:bookmarkEnd w:id="17"/>
      <w:bookmarkEnd w:id="18"/>
      <w:bookmarkEnd w:id="19"/>
      <w:bookmarkEnd w:id="20"/>
    </w:p>
    <w:p w14:paraId="0B4C8E80" w14:textId="77777777" w:rsidR="001F4A41" w:rsidRDefault="001F4A41" w:rsidP="00B7589A">
      <w:pPr>
        <w:pStyle w:val="BodyText2"/>
        <w:spacing w:line="480" w:lineRule="exact"/>
        <w:ind w:left="720" w:hanging="720"/>
      </w:pPr>
      <w:r>
        <w:rPr>
          <w:b/>
        </w:rPr>
        <w:t>Q:</w:t>
      </w:r>
      <w:r>
        <w:rPr>
          <w:b/>
        </w:rPr>
        <w:tab/>
        <w:t xml:space="preserve">Please summarize your </w:t>
      </w:r>
      <w:r w:rsidR="005D7B0B">
        <w:rPr>
          <w:b/>
        </w:rPr>
        <w:t>finding</w:t>
      </w:r>
      <w:r w:rsidR="007112EC">
        <w:rPr>
          <w:b/>
        </w:rPr>
        <w:t>s</w:t>
      </w:r>
      <w:r w:rsidR="005D7B0B">
        <w:rPr>
          <w:b/>
        </w:rPr>
        <w:t xml:space="preserve"> and </w:t>
      </w:r>
      <w:r w:rsidR="00D95C5D">
        <w:rPr>
          <w:b/>
        </w:rPr>
        <w:t>recommendations.</w:t>
      </w:r>
    </w:p>
    <w:p w14:paraId="13036B64" w14:textId="77777777" w:rsidR="00183C2B" w:rsidRDefault="00594112" w:rsidP="00B7589A">
      <w:pPr>
        <w:pStyle w:val="BodyText2"/>
        <w:spacing w:line="480" w:lineRule="exact"/>
        <w:ind w:left="720" w:hanging="720"/>
      </w:pPr>
      <w:r>
        <w:t>A:</w:t>
      </w:r>
      <w:r w:rsidR="00847B1C">
        <w:tab/>
      </w:r>
      <w:r w:rsidR="00F82858">
        <w:t>Our</w:t>
      </w:r>
      <w:r w:rsidR="001C4188">
        <w:t xml:space="preserve"> testimony demonstrates that</w:t>
      </w:r>
      <w:r w:rsidR="00183C2B">
        <w:t>:</w:t>
      </w:r>
      <w:r w:rsidR="009F2F6A">
        <w:t xml:space="preserve"> </w:t>
      </w:r>
    </w:p>
    <w:p w14:paraId="053B9939" w14:textId="77777777" w:rsidR="009F2F6A" w:rsidRDefault="00EE0D7E" w:rsidP="009F2F6A">
      <w:pPr>
        <w:pStyle w:val="BodyText2"/>
        <w:numPr>
          <w:ilvl w:val="0"/>
          <w:numId w:val="21"/>
        </w:numPr>
        <w:spacing w:line="480" w:lineRule="exact"/>
        <w:ind w:left="1440" w:hanging="720"/>
      </w:pPr>
      <w:r>
        <w:t xml:space="preserve">The data that we reviewed demonstrates that </w:t>
      </w:r>
      <w:r w:rsidR="009F2F6A">
        <w:t>Suppliers serve 42% of Connecticut’s households</w:t>
      </w:r>
      <w:r w:rsidR="00B23710" w:rsidRPr="00B23710">
        <w:t xml:space="preserve"> </w:t>
      </w:r>
      <w:r w:rsidR="00B23710">
        <w:t>that receive their electricity via one of the state’s two commercial electric distribution companies, The Connecticut Light &amp; Power Company and The United Illuminating Company (“UI”) (together, the “EDCs”)</w:t>
      </w:r>
      <w:r w:rsidR="009F2F6A">
        <w:t>.</w:t>
      </w:r>
      <w:r w:rsidR="00A93FF2">
        <w:t xml:space="preserve"> Supplier</w:t>
      </w:r>
      <w:r w:rsidR="00B23710">
        <w:t>s</w:t>
      </w:r>
      <w:r w:rsidR="00827EA1">
        <w:t>’</w:t>
      </w:r>
      <w:r w:rsidR="00B23710">
        <w:t xml:space="preserve"> </w:t>
      </w:r>
      <w:r w:rsidR="009F2F6A">
        <w:t>practices clearly affect the well-being and pocketbooks of a substantial portion of Connecticut’s citizens, including some of the state’s most vulnerable residents</w:t>
      </w:r>
      <w:r w:rsidR="00675B90">
        <w:t xml:space="preserve"> – those on fixed incomes, those who have been classified as “hardship” customers, those for whom English is a second language (“ESL”), and </w:t>
      </w:r>
      <w:r w:rsidR="00485751">
        <w:t xml:space="preserve">those </w:t>
      </w:r>
      <w:r w:rsidR="00E54ADF">
        <w:t>who identified themselves as senior citizens or Senior (“Seniors”)</w:t>
      </w:r>
      <w:r w:rsidR="00485751">
        <w:t>.</w:t>
      </w:r>
      <w:r w:rsidR="009F2F6A">
        <w:t xml:space="preserve">   </w:t>
      </w:r>
    </w:p>
    <w:p w14:paraId="5A71D488" w14:textId="77777777" w:rsidR="00E6447A" w:rsidRDefault="00E6447A" w:rsidP="009F2F6A">
      <w:pPr>
        <w:pStyle w:val="BodyText2"/>
        <w:numPr>
          <w:ilvl w:val="0"/>
          <w:numId w:val="21"/>
        </w:numPr>
        <w:spacing w:line="480" w:lineRule="exact"/>
        <w:ind w:left="1440" w:hanging="720"/>
      </w:pPr>
      <w:r>
        <w:t xml:space="preserve">As further set forth below, the </w:t>
      </w:r>
      <w:r w:rsidR="00485751">
        <w:t xml:space="preserve">substantial </w:t>
      </w:r>
      <w:r>
        <w:t xml:space="preserve">majority of consumers who purchase service from </w:t>
      </w:r>
      <w:r w:rsidR="00090AF3">
        <w:t>S</w:t>
      </w:r>
      <w:r>
        <w:t>uppliers pay more than do their counterparts who purchase standard service from CL&amp;P and UI.</w:t>
      </w:r>
    </w:p>
    <w:p w14:paraId="5BF3416B" w14:textId="77777777" w:rsidR="007B4EBD" w:rsidRDefault="00F27919" w:rsidP="00F27919">
      <w:pPr>
        <w:pStyle w:val="BodyText2"/>
        <w:numPr>
          <w:ilvl w:val="0"/>
          <w:numId w:val="21"/>
        </w:numPr>
        <w:spacing w:line="480" w:lineRule="exact"/>
        <w:ind w:left="1440" w:hanging="720"/>
      </w:pPr>
      <w:r>
        <w:t xml:space="preserve">As evidenced by </w:t>
      </w:r>
      <w:r w:rsidR="009D3292">
        <w:t xml:space="preserve">the quantity and types of </w:t>
      </w:r>
      <w:r>
        <w:t xml:space="preserve">complaints </w:t>
      </w:r>
      <w:r w:rsidR="009D3292">
        <w:t xml:space="preserve">that consumers are making to PURA, </w:t>
      </w:r>
      <w:r>
        <w:t xml:space="preserve">and </w:t>
      </w:r>
      <w:r w:rsidR="009D3292">
        <w:t xml:space="preserve">by the </w:t>
      </w:r>
      <w:r>
        <w:t>high prices</w:t>
      </w:r>
      <w:r w:rsidR="009D3292">
        <w:t xml:space="preserve"> that households pay for electricity</w:t>
      </w:r>
      <w:r>
        <w:t>, t</w:t>
      </w:r>
      <w:r w:rsidR="007B4EBD">
        <w:t>he</w:t>
      </w:r>
      <w:r w:rsidR="00A93FF2">
        <w:t xml:space="preserve"> Supplier</w:t>
      </w:r>
      <w:r w:rsidR="007B4EBD">
        <w:t xml:space="preserve"> market is malfunctioning.</w:t>
      </w:r>
      <w:r w:rsidR="00675B90">
        <w:t xml:space="preserve">   Between January and September</w:t>
      </w:r>
      <w:r w:rsidR="007668E3">
        <w:t xml:space="preserve"> </w:t>
      </w:r>
      <w:r w:rsidR="00675B90">
        <w:t xml:space="preserve">2013, </w:t>
      </w:r>
      <w:r w:rsidR="00686A56">
        <w:t xml:space="preserve">818 </w:t>
      </w:r>
      <w:r w:rsidR="00675B90">
        <w:t xml:space="preserve">residential consumers in 141 of Connecticut’s </w:t>
      </w:r>
      <w:r w:rsidR="00802A79">
        <w:t>190</w:t>
      </w:r>
      <w:r w:rsidR="00675B90">
        <w:t xml:space="preserve"> </w:t>
      </w:r>
      <w:r w:rsidR="00802A79">
        <w:t xml:space="preserve">cities and </w:t>
      </w:r>
      <w:r w:rsidR="00675B90">
        <w:t xml:space="preserve">towns complained to PURA about </w:t>
      </w:r>
      <w:r w:rsidR="007B097D">
        <w:t>S</w:t>
      </w:r>
      <w:r w:rsidR="00675B90">
        <w:t>uppliers’ rates and sales practices.</w:t>
      </w:r>
    </w:p>
    <w:p w14:paraId="1E2181CF" w14:textId="77777777" w:rsidR="00F02037" w:rsidRDefault="00B23710" w:rsidP="00F02037">
      <w:pPr>
        <w:pStyle w:val="BodyText2"/>
        <w:numPr>
          <w:ilvl w:val="0"/>
          <w:numId w:val="21"/>
        </w:numPr>
        <w:spacing w:line="480" w:lineRule="exact"/>
        <w:ind w:left="1440" w:hanging="720"/>
      </w:pPr>
      <w:r>
        <w:t xml:space="preserve">In the month of September 2013, CL&amp;P customers </w:t>
      </w:r>
      <w:r w:rsidR="00F82858">
        <w:t>who chose S</w:t>
      </w:r>
      <w:r w:rsidR="00F02037">
        <w:t xml:space="preserve">uppliers rather than remaining on </w:t>
      </w:r>
      <w:r>
        <w:t>CL&amp;P’s</w:t>
      </w:r>
      <w:r w:rsidR="00F02037">
        <w:t xml:space="preserve"> “</w:t>
      </w:r>
      <w:r>
        <w:t>Standard Offer</w:t>
      </w:r>
      <w:r w:rsidR="00F02037">
        <w:t xml:space="preserve">” rate – taking into account both those whose rate exceeded the </w:t>
      </w:r>
      <w:r>
        <w:t>S</w:t>
      </w:r>
      <w:r w:rsidR="00F02037">
        <w:t>tandard</w:t>
      </w:r>
      <w:r>
        <w:t xml:space="preserve"> Offer </w:t>
      </w:r>
      <w:r w:rsidR="00F02037">
        <w:t>and those who paid a lower rate – paid in aggregate $</w:t>
      </w:r>
      <w:r w:rsidR="00090AF3" w:rsidRPr="00090AF3">
        <w:t>10.75</w:t>
      </w:r>
      <w:r w:rsidR="00F02037" w:rsidRPr="00090AF3">
        <w:t xml:space="preserve"> </w:t>
      </w:r>
      <w:r w:rsidR="00F02037">
        <w:t xml:space="preserve">million more </w:t>
      </w:r>
      <w:r>
        <w:t xml:space="preserve">than the Standard Offer </w:t>
      </w:r>
      <w:r w:rsidR="00F02037">
        <w:t>for their electric generation</w:t>
      </w:r>
      <w:r w:rsidR="00485751">
        <w:t xml:space="preserve"> </w:t>
      </w:r>
      <w:r w:rsidR="00485751">
        <w:rPr>
          <w:i/>
        </w:rPr>
        <w:t>for that one month</w:t>
      </w:r>
      <w:r w:rsidR="00F02037">
        <w:t xml:space="preserve">.  </w:t>
      </w:r>
      <w:r>
        <w:t xml:space="preserve">For one 30-day billing cycle for UI, from December 2013-January 2014, UI customers who chose Suppliers rather than UI’s Standard Offer rate paid in aggregate </w:t>
      </w:r>
      <w:r w:rsidR="00090AF3" w:rsidRPr="00090AF3">
        <w:t>$2.96 million</w:t>
      </w:r>
      <w:r>
        <w:t xml:space="preserve"> more</w:t>
      </w:r>
      <w:r w:rsidR="00485751" w:rsidRPr="007A1ADB">
        <w:rPr>
          <w:i/>
        </w:rPr>
        <w:t>, again just during that month</w:t>
      </w:r>
      <w:r>
        <w:t xml:space="preserve">.   These </w:t>
      </w:r>
      <w:r w:rsidR="00F02037">
        <w:t>calculation</w:t>
      </w:r>
      <w:r>
        <w:t>s</w:t>
      </w:r>
      <w:r w:rsidR="00F02037">
        <w:t xml:space="preserve"> </w:t>
      </w:r>
      <w:r>
        <w:t xml:space="preserve">are </w:t>
      </w:r>
      <w:r w:rsidR="00F02037">
        <w:t>based on the average monthly usage of a typical non-heating household (750 kWh)</w:t>
      </w:r>
      <w:r>
        <w:t xml:space="preserve">.  </w:t>
      </w:r>
      <w:r w:rsidR="00F02037">
        <w:t>This calculation of the consumer harm from overpriced electricity is an underestimate, because it applies the usage of non-heating customers as a proxy for all residential customers (rather than weighting the usage of heating and non-heating customers separately).  Were the additional usage by heating customers factored into this calculation, the estimated consumer harm would be even greater.</w:t>
      </w:r>
    </w:p>
    <w:p w14:paraId="067DB72C" w14:textId="77777777" w:rsidR="007602D5" w:rsidRDefault="007602D5" w:rsidP="00F02037">
      <w:pPr>
        <w:pStyle w:val="BodyText2"/>
        <w:numPr>
          <w:ilvl w:val="0"/>
          <w:numId w:val="21"/>
        </w:numPr>
        <w:spacing w:line="480" w:lineRule="exact"/>
        <w:ind w:left="1440" w:hanging="720"/>
      </w:pPr>
      <w:r>
        <w:t>In CL&amp;P’s territory, in total, 56,518 residential customers</w:t>
      </w:r>
      <w:r w:rsidR="00485751">
        <w:t xml:space="preserve"> (or approximately 13% of Suppliers’ residential customers) </w:t>
      </w:r>
      <w:r>
        <w:t xml:space="preserve">paid less than CL&amp;P’s </w:t>
      </w:r>
      <w:r w:rsidR="00A93FF2">
        <w:t>Standard Offer</w:t>
      </w:r>
      <w:r>
        <w:t xml:space="preserve">, 6 residential customers paid the same price as the </w:t>
      </w:r>
      <w:r w:rsidR="00A93FF2">
        <w:t>Standard Offer</w:t>
      </w:r>
      <w:r>
        <w:t>, and</w:t>
      </w:r>
      <w:r>
        <w:rPr>
          <w:b/>
          <w:bCs/>
        </w:rPr>
        <w:t xml:space="preserve"> </w:t>
      </w:r>
      <w:r>
        <w:t xml:space="preserve">383,763 </w:t>
      </w:r>
      <w:r w:rsidR="00485751">
        <w:t xml:space="preserve">residential customers </w:t>
      </w:r>
      <w:r>
        <w:t xml:space="preserve">(or 87% of Suppliers’ residential customers) paid more than CL&amp;P’s </w:t>
      </w:r>
      <w:r w:rsidR="00A93FF2">
        <w:t>Standard Offer</w:t>
      </w:r>
      <w:r>
        <w:t>.</w:t>
      </w:r>
    </w:p>
    <w:p w14:paraId="1FE8C5B7" w14:textId="77777777" w:rsidR="00531ED9" w:rsidRDefault="007602D5" w:rsidP="004A7EC5">
      <w:pPr>
        <w:pStyle w:val="BodyText2"/>
        <w:numPr>
          <w:ilvl w:val="0"/>
          <w:numId w:val="21"/>
        </w:numPr>
        <w:spacing w:line="480" w:lineRule="exact"/>
      </w:pPr>
      <w:r>
        <w:t xml:space="preserve">In UI’s territory, 41,412 residential customers </w:t>
      </w:r>
      <w:r w:rsidR="004A7EC5">
        <w:t xml:space="preserve">(or 30% of Suppliers’ residential customers) </w:t>
      </w:r>
      <w:r w:rsidR="00E54ADF">
        <w:t>paid</w:t>
      </w:r>
      <w:r>
        <w:t xml:space="preserve"> less than UI’s </w:t>
      </w:r>
      <w:r w:rsidR="00A93FF2">
        <w:t>Standard Offer</w:t>
      </w:r>
      <w:r>
        <w:t xml:space="preserve"> and</w:t>
      </w:r>
      <w:r>
        <w:rPr>
          <w:b/>
          <w:bCs/>
        </w:rPr>
        <w:t xml:space="preserve"> </w:t>
      </w:r>
      <w:r>
        <w:t xml:space="preserve">95,398 (or 70% of Suppliers’ residential customers) were paying more than UI’s </w:t>
      </w:r>
      <w:r w:rsidR="00A93FF2">
        <w:t>Standard Offer</w:t>
      </w:r>
      <w:r>
        <w:t>.</w:t>
      </w:r>
    </w:p>
    <w:p w14:paraId="3FF5AFD5" w14:textId="77777777" w:rsidR="00DE130C" w:rsidRDefault="00DE130C" w:rsidP="00531ED9">
      <w:pPr>
        <w:pStyle w:val="BodyText2"/>
        <w:numPr>
          <w:ilvl w:val="0"/>
          <w:numId w:val="21"/>
        </w:numPr>
        <w:spacing w:line="480" w:lineRule="exact"/>
        <w:ind w:left="1440" w:hanging="720"/>
      </w:pPr>
      <w:r>
        <w:t xml:space="preserve">The fact that the vast majority of Suppliers’ residential customers throughout the state </w:t>
      </w:r>
      <w:r w:rsidRPr="00531ED9">
        <w:rPr>
          <w:i/>
        </w:rPr>
        <w:t>pay more than if they purchased the Standard Offer</w:t>
      </w:r>
      <w:r>
        <w:t xml:space="preserve"> suggests that the market is not functioning properly as it is presently structured and regulated.</w:t>
      </w:r>
    </w:p>
    <w:p w14:paraId="4F675A9D" w14:textId="77777777" w:rsidR="00531ED9" w:rsidRDefault="00531ED9" w:rsidP="00531ED9">
      <w:pPr>
        <w:pStyle w:val="BodyText2"/>
        <w:numPr>
          <w:ilvl w:val="0"/>
          <w:numId w:val="21"/>
        </w:numPr>
        <w:spacing w:line="480" w:lineRule="exact"/>
        <w:ind w:left="1440" w:hanging="720"/>
      </w:pPr>
      <w:r w:rsidRPr="00EC55D5">
        <w:t>In CL&amp;P’s region, the potential savings available in the Supplier market for residential customers is vastly less than the potential costs, as the lowest price available was 6.3 cents/kwh, while the highest price identified was 21.8 cents/kwh.  So while a residential customer could pay up to 14.2 cents over the Standard Offer, that same customer could only potentially save no more than 1.3 cents below the Standard Offer.</w:t>
      </w:r>
      <w:r w:rsidRPr="00EC55D5">
        <w:rPr>
          <w:rStyle w:val="FootnoteReference"/>
        </w:rPr>
        <w:footnoteReference w:id="1"/>
      </w:r>
    </w:p>
    <w:p w14:paraId="4B0C29E0" w14:textId="77777777" w:rsidR="00531ED9" w:rsidRDefault="00531ED9" w:rsidP="00531ED9">
      <w:pPr>
        <w:pStyle w:val="BodyText2"/>
        <w:numPr>
          <w:ilvl w:val="0"/>
          <w:numId w:val="21"/>
        </w:numPr>
        <w:spacing w:line="480" w:lineRule="exact"/>
        <w:ind w:left="1440" w:hanging="720"/>
      </w:pPr>
      <w:r w:rsidRPr="00EC55D5">
        <w:t>In UI’s region, the potential savings</w:t>
      </w:r>
      <w:r>
        <w:t xml:space="preserve"> available in the Supplier market for residential customers is vastly less than the potential costs, as the lowest price available was 6.1 cents/</w:t>
      </w:r>
      <w:r w:rsidR="00A71210">
        <w:t>kWh</w:t>
      </w:r>
      <w:r>
        <w:t>, while the highest price identified was 29 cents/</w:t>
      </w:r>
      <w:r w:rsidR="00A71210">
        <w:t>kWh</w:t>
      </w:r>
      <w:r>
        <w:t>.  So while a residential customer could pay up to 20.7 cents over the Standard Offer, that same customer could only potentially save no more than 2.1 cents below the Standard Offer.</w:t>
      </w:r>
    </w:p>
    <w:p w14:paraId="2CAF6558" w14:textId="77777777" w:rsidR="00E823FB" w:rsidRPr="00E823FB" w:rsidRDefault="00E823FB" w:rsidP="007602D5">
      <w:pPr>
        <w:pStyle w:val="BodyText2"/>
        <w:numPr>
          <w:ilvl w:val="0"/>
          <w:numId w:val="21"/>
        </w:numPr>
        <w:spacing w:line="480" w:lineRule="exact"/>
        <w:ind w:left="1440" w:hanging="720"/>
      </w:pPr>
      <w:r w:rsidRPr="00E823FB">
        <w:t xml:space="preserve">The prevalence of </w:t>
      </w:r>
      <w:r w:rsidR="00E54ADF">
        <w:t>customer</w:t>
      </w:r>
      <w:r w:rsidR="00E54ADF" w:rsidRPr="00E823FB">
        <w:t xml:space="preserve"> </w:t>
      </w:r>
      <w:r w:rsidRPr="00E823FB">
        <w:t>complaints and the exorbitant rates that some Suppliers are able to maintain suggest a distorted marketplace.  If consumer “loyalty” depends on their confusion, it is not in Suppliers’ interest to educate consumers properly – key information may be buried in fine print, and references to variable rates may be negligible.</w:t>
      </w:r>
    </w:p>
    <w:p w14:paraId="5FCFBB2E" w14:textId="77777777" w:rsidR="007B4EBD" w:rsidRDefault="00F82858" w:rsidP="00F27919">
      <w:pPr>
        <w:pStyle w:val="BodyText2"/>
        <w:numPr>
          <w:ilvl w:val="0"/>
          <w:numId w:val="21"/>
        </w:numPr>
        <w:spacing w:line="480" w:lineRule="exact"/>
        <w:ind w:left="1440" w:hanging="720"/>
      </w:pPr>
      <w:r>
        <w:t>Complaints about S</w:t>
      </w:r>
      <w:r w:rsidR="007B4EBD">
        <w:t xml:space="preserve">uppliers’ sales and marketing practices are numerous and concern such matters as slamming, purportedly fixed rates unexpectedly becoming variable, phone harassment, </w:t>
      </w:r>
      <w:r w:rsidR="009D3292">
        <w:t xml:space="preserve">and </w:t>
      </w:r>
      <w:r w:rsidR="007B4EBD">
        <w:t>misleading representations by sales representatives.</w:t>
      </w:r>
    </w:p>
    <w:p w14:paraId="3F4CC83A" w14:textId="77777777" w:rsidR="007B4EBD" w:rsidRDefault="007B4EBD" w:rsidP="00F27919">
      <w:pPr>
        <w:pStyle w:val="BodyText2"/>
        <w:numPr>
          <w:ilvl w:val="0"/>
          <w:numId w:val="21"/>
        </w:numPr>
        <w:spacing w:line="480" w:lineRule="exact"/>
        <w:ind w:left="1440" w:hanging="720"/>
      </w:pPr>
      <w:r>
        <w:t>C</w:t>
      </w:r>
      <w:r w:rsidR="002F2F3B">
        <w:t xml:space="preserve">ustomers </w:t>
      </w:r>
      <w:r w:rsidR="009A2D23">
        <w:t>c</w:t>
      </w:r>
      <w:r>
        <w:t xml:space="preserve">omplain </w:t>
      </w:r>
      <w:r w:rsidR="002F2F3B">
        <w:t xml:space="preserve">that </w:t>
      </w:r>
      <w:r w:rsidR="00CA38D6">
        <w:t>S</w:t>
      </w:r>
      <w:r>
        <w:t>upplier</w:t>
      </w:r>
      <w:r w:rsidR="00EF4AAD">
        <w:t>s</w:t>
      </w:r>
      <w:r>
        <w:t xml:space="preserve"> fail to provide adequately staffed customer service </w:t>
      </w:r>
      <w:r w:rsidR="002F2F3B">
        <w:t xml:space="preserve">support lines: there are long phone queues, after which the customer may only reach an answering machine; </w:t>
      </w:r>
      <w:r>
        <w:t>calls go unanswered</w:t>
      </w:r>
      <w:r w:rsidR="00A4635D">
        <w:t>; promised return calls do not occur</w:t>
      </w:r>
      <w:r w:rsidR="0085349B">
        <w:t>; and consumers’ cancellation efforts are thwarted by this poor customer service.</w:t>
      </w:r>
    </w:p>
    <w:p w14:paraId="7FAA1DDA" w14:textId="77777777" w:rsidR="00B7589A" w:rsidRDefault="00E54ADF" w:rsidP="00F27919">
      <w:pPr>
        <w:pStyle w:val="BodyText2"/>
        <w:numPr>
          <w:ilvl w:val="0"/>
          <w:numId w:val="21"/>
        </w:numPr>
        <w:spacing w:line="480" w:lineRule="exact"/>
        <w:ind w:left="1440" w:hanging="720"/>
      </w:pPr>
      <w:r>
        <w:t xml:space="preserve">Senior </w:t>
      </w:r>
      <w:r w:rsidR="00B7589A">
        <w:t xml:space="preserve">and </w:t>
      </w:r>
      <w:r w:rsidR="00675B90">
        <w:t>ESL</w:t>
      </w:r>
      <w:r w:rsidR="00B7589A">
        <w:t xml:space="preserve"> consumers </w:t>
      </w:r>
      <w:r w:rsidR="00A4635D">
        <w:t xml:space="preserve">are among those </w:t>
      </w:r>
      <w:r w:rsidR="00B7589A">
        <w:t xml:space="preserve">who feel </w:t>
      </w:r>
      <w:r w:rsidR="009D3292">
        <w:t xml:space="preserve">taken advantage of </w:t>
      </w:r>
      <w:r w:rsidR="00B7589A">
        <w:t>by</w:t>
      </w:r>
      <w:r w:rsidR="00A93FF2">
        <w:t xml:space="preserve"> Supplier</w:t>
      </w:r>
      <w:r w:rsidR="00B7589A">
        <w:t>s.</w:t>
      </w:r>
      <w:r w:rsidR="009D3292">
        <w:t xml:space="preserve"> </w:t>
      </w:r>
      <w:r>
        <w:t xml:space="preserve"> </w:t>
      </w:r>
      <w:r w:rsidR="00C51966">
        <w:t>Certain suppliers drew a disproportionate share of the overall complaints from Senior</w:t>
      </w:r>
      <w:r w:rsidR="00B923D6">
        <w:t>s.</w:t>
      </w:r>
    </w:p>
    <w:p w14:paraId="3C482AA8" w14:textId="77777777" w:rsidR="00A06BC3" w:rsidRDefault="00A06BC3" w:rsidP="00F27919">
      <w:pPr>
        <w:pStyle w:val="BodyText2"/>
        <w:numPr>
          <w:ilvl w:val="0"/>
          <w:numId w:val="21"/>
        </w:numPr>
        <w:spacing w:line="480" w:lineRule="exact"/>
        <w:ind w:left="1440" w:hanging="720"/>
      </w:pPr>
      <w:r>
        <w:t xml:space="preserve">Some </w:t>
      </w:r>
      <w:r w:rsidR="00DE130C">
        <w:t>S</w:t>
      </w:r>
      <w:r>
        <w:t>uppliers’ customer bases include disproportionate percentages of customers who are designated as “hardship”</w:t>
      </w:r>
      <w:r w:rsidRPr="00D70C55">
        <w:t xml:space="preserve"> </w:t>
      </w:r>
      <w:r>
        <w:t>(</w:t>
      </w:r>
      <w:r w:rsidRPr="00443068">
        <w:rPr>
          <w:i/>
        </w:rPr>
        <w:t>i.e.</w:t>
      </w:r>
      <w:r>
        <w:t xml:space="preserve">, indicating that the customer cannot be turned off under certain situations).  Costs incurred by the EDCs associated with hardship customers’ inability to pay are shifted to other customers.  Thus, to the extent hardship customers are being charged high rates they cannot afford, at least some of that cost is being borne by all EDC customers, even those on the Standard Offer.  </w:t>
      </w:r>
    </w:p>
    <w:p w14:paraId="37994F9D" w14:textId="77777777" w:rsidR="00A06BC3" w:rsidRDefault="00A06BC3" w:rsidP="00F82858">
      <w:pPr>
        <w:pStyle w:val="BodyText2"/>
        <w:numPr>
          <w:ilvl w:val="0"/>
          <w:numId w:val="21"/>
        </w:numPr>
        <w:spacing w:line="480" w:lineRule="exact"/>
        <w:ind w:left="1440" w:hanging="720"/>
      </w:pPr>
      <w:r>
        <w:t xml:space="preserve">The EDCs do not track customers who receive energy assistance from state, local or federal programs, so OCC was unable to determine the prices being charged to those customers.  Assuming </w:t>
      </w:r>
      <w:r w:rsidR="00E95DF1">
        <w:t xml:space="preserve">some overlap with hardship customers, </w:t>
      </w:r>
      <w:r>
        <w:t>at least some customers receiving energy assistance h</w:t>
      </w:r>
      <w:r w:rsidR="00E95DF1">
        <w:t>ave been victimized by Supplier</w:t>
      </w:r>
      <w:r>
        <w:t>s</w:t>
      </w:r>
      <w:r w:rsidR="00E95DF1">
        <w:t>’</w:t>
      </w:r>
      <w:r>
        <w:t xml:space="preserve"> unfair sales practices</w:t>
      </w:r>
      <w:r w:rsidR="00E95DF1">
        <w:t xml:space="preserve"> and are being charged unreasonably high rates.</w:t>
      </w:r>
      <w:r>
        <w:t xml:space="preserve"> </w:t>
      </w:r>
      <w:r w:rsidR="00F82858">
        <w:t xml:space="preserve">  </w:t>
      </w:r>
      <w:r w:rsidR="00E95DF1">
        <w:t xml:space="preserve">Energy assistance programs </w:t>
      </w:r>
      <w:r w:rsidR="00F82858">
        <w:t xml:space="preserve">– the cost of which are borne by all customers – </w:t>
      </w:r>
      <w:r w:rsidR="00E95DF1">
        <w:t>are thus vulnerable to unnecessary depletion</w:t>
      </w:r>
      <w:r w:rsidR="00F82858">
        <w:t xml:space="preserve"> because they are unintentionally </w:t>
      </w:r>
      <w:r w:rsidR="00E95DF1">
        <w:t>funding some Suppliers’ unscrupulous sales practices.</w:t>
      </w:r>
      <w:r>
        <w:t xml:space="preserve"> </w:t>
      </w:r>
    </w:p>
    <w:p w14:paraId="0F90190C" w14:textId="77777777" w:rsidR="00B7589A" w:rsidRDefault="00B7589A" w:rsidP="00F27919">
      <w:pPr>
        <w:pStyle w:val="BodyText2"/>
        <w:numPr>
          <w:ilvl w:val="0"/>
          <w:numId w:val="21"/>
        </w:numPr>
        <w:spacing w:line="480" w:lineRule="exact"/>
        <w:ind w:left="1440" w:hanging="720"/>
      </w:pPr>
      <w:r>
        <w:t>Some</w:t>
      </w:r>
      <w:r w:rsidR="00A93FF2">
        <w:t xml:space="preserve"> Supplier</w:t>
      </w:r>
      <w:r>
        <w:t>s give credits in response to consumers registering their complaints with PURA</w:t>
      </w:r>
      <w:r w:rsidR="00A4635D">
        <w:t>,</w:t>
      </w:r>
      <w:r>
        <w:t xml:space="preserve"> but the magnitude of these credits pales in comparison with the revenues that</w:t>
      </w:r>
      <w:r w:rsidR="00A93FF2">
        <w:t xml:space="preserve"> Supplier</w:t>
      </w:r>
      <w:r>
        <w:t xml:space="preserve">s generate with rates that vastly exceed </w:t>
      </w:r>
      <w:r w:rsidR="009F16A3">
        <w:t xml:space="preserve">Standard Offer </w:t>
      </w:r>
      <w:r>
        <w:t>rates.</w:t>
      </w:r>
    </w:p>
    <w:p w14:paraId="261DA120" w14:textId="77777777" w:rsidR="0027603E" w:rsidRDefault="00A4635D" w:rsidP="00622FA3">
      <w:pPr>
        <w:pStyle w:val="BodyText2"/>
        <w:numPr>
          <w:ilvl w:val="0"/>
          <w:numId w:val="21"/>
        </w:numPr>
        <w:spacing w:line="480" w:lineRule="exact"/>
        <w:ind w:left="1440" w:hanging="720"/>
      </w:pPr>
      <w:r>
        <w:t>State law already address</w:t>
      </w:r>
      <w:r w:rsidR="00E54ADF">
        <w:t>es</w:t>
      </w:r>
      <w:r>
        <w:t xml:space="preserve"> (with either affirmative requirements or prohibitions) many of the sales and marketing practices that underlie many consumer complaints</w:t>
      </w:r>
      <w:r w:rsidR="00622FA3">
        <w:t xml:space="preserve">, but </w:t>
      </w:r>
      <w:r>
        <w:t>some</w:t>
      </w:r>
      <w:r w:rsidR="00A93FF2">
        <w:t xml:space="preserve"> Supplier</w:t>
      </w:r>
      <w:r>
        <w:t>s persist in violating these laws and rules</w:t>
      </w:r>
      <w:r w:rsidR="00622FA3">
        <w:t>.</w:t>
      </w:r>
      <w:r w:rsidR="0085349B">
        <w:t xml:space="preserve">  </w:t>
      </w:r>
    </w:p>
    <w:p w14:paraId="59BB1234" w14:textId="77777777" w:rsidR="002A3253" w:rsidRDefault="0027603E" w:rsidP="00F27919">
      <w:pPr>
        <w:pStyle w:val="BodyText2"/>
        <w:numPr>
          <w:ilvl w:val="0"/>
          <w:numId w:val="21"/>
        </w:numPr>
        <w:spacing w:line="480" w:lineRule="exact"/>
        <w:ind w:left="1440" w:hanging="720"/>
        <w:jc w:val="both"/>
      </w:pPr>
      <w:r>
        <w:t>It is clear that</w:t>
      </w:r>
      <w:r w:rsidR="00622FA3">
        <w:t xml:space="preserve"> an overhaul of the sanctions and remedies used to address ongoing violations</w:t>
      </w:r>
      <w:r>
        <w:t xml:space="preserve"> is necessary</w:t>
      </w:r>
      <w:r w:rsidR="00622FA3">
        <w:t xml:space="preserve">, and additional resources should be made available to PURA for </w:t>
      </w:r>
      <w:r w:rsidR="0085349B">
        <w:t>enforcement</w:t>
      </w:r>
      <w:r>
        <w:t xml:space="preserve"> purposes</w:t>
      </w:r>
      <w:r w:rsidR="00622FA3">
        <w:t>.  In addition, PURA should immediately begin license reviews for</w:t>
      </w:r>
      <w:r w:rsidR="00A93FF2">
        <w:t xml:space="preserve"> Supplier</w:t>
      </w:r>
      <w:r w:rsidR="00622FA3">
        <w:t>s wh</w:t>
      </w:r>
      <w:r w:rsidR="00DC26A3">
        <w:t>ich</w:t>
      </w:r>
      <w:r w:rsidR="00622FA3">
        <w:t xml:space="preserve"> consumers have </w:t>
      </w:r>
      <w:r>
        <w:t xml:space="preserve">repeatedly </w:t>
      </w:r>
      <w:r w:rsidR="00622FA3">
        <w:t>reported for unfair or abusive sales and marketing practices</w:t>
      </w:r>
      <w:r w:rsidR="00594F60">
        <w:t>, and such reviews should occur on a regular – perhaps biannual – basis</w:t>
      </w:r>
      <w:r w:rsidR="00622FA3">
        <w:t>.</w:t>
      </w:r>
      <w:r w:rsidR="00622FA3" w:rsidDel="00622FA3">
        <w:t xml:space="preserve"> </w:t>
      </w:r>
      <w:r w:rsidR="0085349B">
        <w:t xml:space="preserve"> </w:t>
      </w:r>
    </w:p>
    <w:p w14:paraId="78B63CF6" w14:textId="77777777" w:rsidR="00D72E5F" w:rsidRPr="00436202" w:rsidRDefault="00D72E5F" w:rsidP="00FD70A8">
      <w:pPr>
        <w:keepNext/>
        <w:spacing w:line="480" w:lineRule="auto"/>
        <w:outlineLvl w:val="0"/>
        <w:rPr>
          <w:b/>
        </w:rPr>
      </w:pPr>
      <w:bookmarkStart w:id="21" w:name="_Toc373952989"/>
      <w:bookmarkStart w:id="22" w:name="_Toc382029116"/>
      <w:bookmarkStart w:id="23" w:name="_Toc135124169"/>
      <w:bookmarkStart w:id="24" w:name="_Toc135192264"/>
      <w:bookmarkStart w:id="25" w:name="_Toc156089502"/>
      <w:r w:rsidRPr="00436202">
        <w:rPr>
          <w:b/>
        </w:rPr>
        <w:t>II.</w:t>
      </w:r>
      <w:r w:rsidRPr="00436202">
        <w:rPr>
          <w:b/>
        </w:rPr>
        <w:tab/>
      </w:r>
      <w:r>
        <w:rPr>
          <w:b/>
        </w:rPr>
        <w:t xml:space="preserve">STATUTORY </w:t>
      </w:r>
      <w:r w:rsidRPr="00436202">
        <w:rPr>
          <w:b/>
        </w:rPr>
        <w:t>AND REGULATORY BACKGROUND</w:t>
      </w:r>
      <w:bookmarkEnd w:id="21"/>
      <w:bookmarkEnd w:id="22"/>
    </w:p>
    <w:p w14:paraId="024DB50A" w14:textId="77777777" w:rsidR="007967A4" w:rsidRPr="00893870" w:rsidRDefault="007967A4" w:rsidP="00181E7D">
      <w:pPr>
        <w:spacing w:line="480" w:lineRule="auto"/>
        <w:ind w:left="720" w:hanging="720"/>
      </w:pPr>
    </w:p>
    <w:p w14:paraId="7A26E3EC" w14:textId="77777777" w:rsidR="007967A4" w:rsidRDefault="007967A4" w:rsidP="00181E7D">
      <w:pPr>
        <w:spacing w:line="480" w:lineRule="auto"/>
        <w:ind w:left="720" w:hanging="720"/>
        <w:rPr>
          <w:b/>
        </w:rPr>
      </w:pPr>
      <w:r w:rsidRPr="00893870">
        <w:rPr>
          <w:b/>
        </w:rPr>
        <w:t>Q</w:t>
      </w:r>
      <w:r>
        <w:rPr>
          <w:b/>
        </w:rPr>
        <w:t>:</w:t>
      </w:r>
      <w:r w:rsidRPr="00893870">
        <w:rPr>
          <w:b/>
        </w:rPr>
        <w:tab/>
        <w:t xml:space="preserve">Please briefly describe your understanding of </w:t>
      </w:r>
      <w:r>
        <w:rPr>
          <w:b/>
        </w:rPr>
        <w:t xml:space="preserve">the origins of </w:t>
      </w:r>
      <w:r w:rsidRPr="00893870">
        <w:rPr>
          <w:b/>
        </w:rPr>
        <w:t>retail electric competition in C</w:t>
      </w:r>
      <w:r w:rsidR="009F16A3">
        <w:rPr>
          <w:b/>
        </w:rPr>
        <w:t>onnecticut</w:t>
      </w:r>
      <w:r>
        <w:rPr>
          <w:b/>
        </w:rPr>
        <w:t>.</w:t>
      </w:r>
      <w:r w:rsidRPr="00893870">
        <w:rPr>
          <w:b/>
        </w:rPr>
        <w:t xml:space="preserve"> </w:t>
      </w:r>
    </w:p>
    <w:p w14:paraId="4102C3C8" w14:textId="77777777" w:rsidR="007967A4" w:rsidRDefault="007967A4" w:rsidP="00181E7D">
      <w:pPr>
        <w:spacing w:line="480" w:lineRule="auto"/>
        <w:ind w:left="720" w:hanging="720"/>
      </w:pPr>
      <w:r>
        <w:t>A:</w:t>
      </w:r>
      <w:r w:rsidRPr="00893870">
        <w:t xml:space="preserve">  </w:t>
      </w:r>
      <w:r>
        <w:tab/>
      </w:r>
      <w:r w:rsidRPr="00893870">
        <w:t>Connecticut restructured its regulation of the electric industry in 1998, pursuant to Public Act No. 98-28.  As part of its electric industry restructuring, which also occurred in many other states in this same timeframe, Connecticut p</w:t>
      </w:r>
      <w:r>
        <w:t>e</w:t>
      </w:r>
      <w:r w:rsidR="0085349B">
        <w:t>rmitted competitive</w:t>
      </w:r>
      <w:r w:rsidR="00A93FF2">
        <w:t xml:space="preserve"> Supplier</w:t>
      </w:r>
      <w:r w:rsidR="0085349B">
        <w:t xml:space="preserve">s </w:t>
      </w:r>
      <w:r>
        <w:t xml:space="preserve">to sell electric generation services to end use customers, using the transmission </w:t>
      </w:r>
      <w:r w:rsidR="002D760F">
        <w:t>and</w:t>
      </w:r>
      <w:r>
        <w:t xml:space="preserve"> distribution facilities of </w:t>
      </w:r>
      <w:r w:rsidR="0027603E">
        <w:t xml:space="preserve">the </w:t>
      </w:r>
      <w:r w:rsidR="00EF4AAD">
        <w:t>EDCs.</w:t>
      </w:r>
      <w:r>
        <w:t xml:space="preserve"> </w:t>
      </w:r>
      <w:r w:rsidR="00A93FF2">
        <w:t xml:space="preserve"> Supplier</w:t>
      </w:r>
      <w:r>
        <w:t>s must obtain a license (from PURA) to operate in the state</w:t>
      </w:r>
      <w:r>
        <w:rPr>
          <w:rStyle w:val="FootnoteReference"/>
        </w:rPr>
        <w:footnoteReference w:id="2"/>
      </w:r>
      <w:r>
        <w:t xml:space="preserve"> and are subject to </w:t>
      </w:r>
      <w:r w:rsidR="007155F3">
        <w:t>PURA</w:t>
      </w:r>
      <w:r w:rsidR="0027603E">
        <w:t>’s</w:t>
      </w:r>
      <w:r>
        <w:t xml:space="preserve"> oversight, but their rates are not subject to prior review and approval, based on the assumption that they operate in a competitive market.</w:t>
      </w:r>
      <w:r w:rsidR="00FE2B3B">
        <w:t xml:space="preserve"> </w:t>
      </w:r>
      <w:r w:rsidRPr="00893870">
        <w:t xml:space="preserve"> The sta</w:t>
      </w:r>
      <w:r>
        <w:t xml:space="preserve">te’s two </w:t>
      </w:r>
      <w:r w:rsidR="0027603E">
        <w:t>EDCs</w:t>
      </w:r>
      <w:r w:rsidRPr="00893870">
        <w:t xml:space="preserve"> also continue to sell electric</w:t>
      </w:r>
      <w:r>
        <w:t xml:space="preserve"> generation services</w:t>
      </w:r>
      <w:r w:rsidRPr="00893870">
        <w:t xml:space="preserve"> at </w:t>
      </w:r>
      <w:r w:rsidR="0027603E">
        <w:t>the</w:t>
      </w:r>
      <w:r w:rsidRPr="00893870">
        <w:t xml:space="preserve"> </w:t>
      </w:r>
      <w:r w:rsidR="00EF4AAD">
        <w:t>Standard Offer, or default,</w:t>
      </w:r>
      <w:r w:rsidR="00D7333C">
        <w:t xml:space="preserve"> </w:t>
      </w:r>
      <w:r w:rsidRPr="00893870">
        <w:t>rate</w:t>
      </w:r>
      <w:r>
        <w:t xml:space="preserve">, which is subject to </w:t>
      </w:r>
      <w:r w:rsidR="00AE4C38">
        <w:t xml:space="preserve">PURA </w:t>
      </w:r>
      <w:r>
        <w:t>review and approval.</w:t>
      </w:r>
      <w:r w:rsidR="00FE2B3B">
        <w:t xml:space="preserve">  </w:t>
      </w:r>
    </w:p>
    <w:p w14:paraId="221DA18E" w14:textId="77777777" w:rsidR="002A72C6" w:rsidRDefault="002A72C6" w:rsidP="00181E7D">
      <w:pPr>
        <w:spacing w:line="480" w:lineRule="auto"/>
        <w:ind w:left="720" w:hanging="720"/>
      </w:pPr>
    </w:p>
    <w:p w14:paraId="65CB8C84" w14:textId="77777777" w:rsidR="007967A4" w:rsidRDefault="0027603E" w:rsidP="00181E7D">
      <w:pPr>
        <w:spacing w:line="480" w:lineRule="auto"/>
        <w:ind w:left="720"/>
      </w:pPr>
      <w:r>
        <w:t xml:space="preserve">PURA’s predecessor agency, the </w:t>
      </w:r>
      <w:r w:rsidR="007155F3">
        <w:t xml:space="preserve">DPUC, </w:t>
      </w:r>
      <w:r w:rsidR="007967A4" w:rsidRPr="00893870">
        <w:t>implemented the provisions of PA 98-</w:t>
      </w:r>
      <w:r w:rsidR="007967A4">
        <w:t xml:space="preserve">28 </w:t>
      </w:r>
      <w:r w:rsidR="007967A4" w:rsidRPr="00893870">
        <w:t xml:space="preserve">shortly after that law was enacted, and </w:t>
      </w:r>
      <w:r>
        <w:t>the DPUC and now PURA have</w:t>
      </w:r>
      <w:r w:rsidR="007967A4" w:rsidRPr="00893870">
        <w:t xml:space="preserve"> modified its requirements relative to competitive retail supply </w:t>
      </w:r>
      <w:r w:rsidR="007967A4">
        <w:t xml:space="preserve">on several occasions, </w:t>
      </w:r>
      <w:r w:rsidR="007967A4" w:rsidRPr="00893870">
        <w:t>in response to subsequent revisions to that statutory framework</w:t>
      </w:r>
      <w:r w:rsidR="007967A4">
        <w:t>.</w:t>
      </w:r>
      <w:r w:rsidR="007967A4" w:rsidRPr="00893870">
        <w:rPr>
          <w:vertAlign w:val="superscript"/>
        </w:rPr>
        <w:footnoteReference w:id="3"/>
      </w:r>
    </w:p>
    <w:p w14:paraId="4CDA8C2E" w14:textId="77777777" w:rsidR="007967A4" w:rsidRPr="000A5ECC" w:rsidRDefault="007967A4" w:rsidP="00181E7D">
      <w:pPr>
        <w:spacing w:line="480" w:lineRule="auto"/>
        <w:ind w:left="720" w:hanging="720"/>
        <w:rPr>
          <w:b/>
        </w:rPr>
      </w:pPr>
      <w:r w:rsidRPr="000A5ECC">
        <w:rPr>
          <w:b/>
        </w:rPr>
        <w:t>Q:</w:t>
      </w:r>
      <w:r w:rsidRPr="000A5ECC">
        <w:rPr>
          <w:b/>
        </w:rPr>
        <w:tab/>
        <w:t>What can be gleaned from P</w:t>
      </w:r>
      <w:r w:rsidR="00AE4C38">
        <w:rPr>
          <w:b/>
        </w:rPr>
        <w:t xml:space="preserve">ublic </w:t>
      </w:r>
      <w:r w:rsidRPr="000A5ECC">
        <w:rPr>
          <w:b/>
        </w:rPr>
        <w:t>A</w:t>
      </w:r>
      <w:r w:rsidR="00AE4C38">
        <w:rPr>
          <w:b/>
        </w:rPr>
        <w:t>ct</w:t>
      </w:r>
      <w:r w:rsidRPr="000A5ECC">
        <w:rPr>
          <w:b/>
        </w:rPr>
        <w:t xml:space="preserve"> 98-28 about Connecticut’s objectives in adopting this restructuring, particularly with respect to its impact on residential and small business customers?</w:t>
      </w:r>
    </w:p>
    <w:p w14:paraId="77408D96" w14:textId="77777777" w:rsidR="007967A4" w:rsidRPr="00893870" w:rsidRDefault="007967A4" w:rsidP="00181E7D">
      <w:pPr>
        <w:spacing w:line="480" w:lineRule="auto"/>
        <w:ind w:left="720" w:hanging="720"/>
      </w:pPr>
      <w:r>
        <w:t>A:</w:t>
      </w:r>
      <w:r>
        <w:tab/>
        <w:t>T</w:t>
      </w:r>
      <w:r w:rsidRPr="00893870">
        <w:t xml:space="preserve">he </w:t>
      </w:r>
      <w:r w:rsidR="00594F60">
        <w:t>Act</w:t>
      </w:r>
      <w:r w:rsidR="00594F60" w:rsidRPr="00893870">
        <w:t xml:space="preserve"> </w:t>
      </w:r>
      <w:r w:rsidRPr="00893870">
        <w:t xml:space="preserve">includes several </w:t>
      </w:r>
      <w:r w:rsidR="00387816">
        <w:t xml:space="preserve">explanatory </w:t>
      </w:r>
      <w:r w:rsidRPr="00893870">
        <w:t>provisions that bear directly on retail sales and their consumer impacts, including</w:t>
      </w:r>
      <w:r w:rsidR="0027603E">
        <w:t xml:space="preserve"> (emphasis added)</w:t>
      </w:r>
      <w:r w:rsidRPr="00893870">
        <w:t>:</w:t>
      </w:r>
    </w:p>
    <w:p w14:paraId="02849B46" w14:textId="77777777" w:rsidR="007967A4" w:rsidRPr="00893870" w:rsidRDefault="007967A4" w:rsidP="00181E7D">
      <w:pPr>
        <w:numPr>
          <w:ilvl w:val="0"/>
          <w:numId w:val="31"/>
        </w:numPr>
        <w:spacing w:line="480" w:lineRule="auto"/>
        <w:ind w:left="2160" w:hanging="720"/>
      </w:pPr>
      <w:r w:rsidRPr="00893870">
        <w:t>“</w:t>
      </w:r>
      <w:r w:rsidR="007155F3">
        <w:rPr>
          <w:u w:val="single"/>
        </w:rPr>
        <w:t xml:space="preserve">the provision of affordable, safe and reliable </w:t>
      </w:r>
      <w:r w:rsidRPr="00E0362D">
        <w:rPr>
          <w:u w:val="single"/>
        </w:rPr>
        <w:t>electricity</w:t>
      </w:r>
      <w:r w:rsidR="007155F3">
        <w:t xml:space="preserve"> is key to </w:t>
      </w:r>
      <w:r w:rsidRPr="00893870">
        <w:t xml:space="preserve">the  continuing </w:t>
      </w:r>
      <w:r>
        <w:t xml:space="preserve">growth of this </w:t>
      </w:r>
      <w:r w:rsidRPr="00893870">
        <w:t>state and to the health, safety and general welfare of its residents;”</w:t>
      </w:r>
    </w:p>
    <w:p w14:paraId="34456F92" w14:textId="77777777" w:rsidR="007967A4" w:rsidRPr="00893870" w:rsidRDefault="007967A4" w:rsidP="00181E7D">
      <w:pPr>
        <w:numPr>
          <w:ilvl w:val="0"/>
          <w:numId w:val="31"/>
        </w:numPr>
        <w:spacing w:line="480" w:lineRule="auto"/>
        <w:ind w:left="2160" w:hanging="720"/>
      </w:pPr>
      <w:r w:rsidRPr="00893870">
        <w:t xml:space="preserve">“it is in the best interest of the state </w:t>
      </w:r>
      <w:r w:rsidRPr="00E0362D">
        <w:rPr>
          <w:u w:val="single"/>
        </w:rPr>
        <w:t>to reduce rates for electricity to all  customer classes</w:t>
      </w:r>
      <w:r w:rsidRPr="00893870">
        <w:t>;”</w:t>
      </w:r>
    </w:p>
    <w:p w14:paraId="66D61525" w14:textId="77777777" w:rsidR="007967A4" w:rsidRPr="00893870" w:rsidRDefault="007967A4" w:rsidP="00181E7D">
      <w:pPr>
        <w:numPr>
          <w:ilvl w:val="0"/>
          <w:numId w:val="31"/>
        </w:numPr>
        <w:spacing w:line="480" w:lineRule="auto"/>
        <w:ind w:left="2160" w:hanging="720"/>
      </w:pPr>
      <w:r w:rsidRPr="00893870">
        <w:t xml:space="preserve">“public policy measures under current law, including, but not limited   to, those </w:t>
      </w:r>
      <w:r w:rsidRPr="00E0362D">
        <w:rPr>
          <w:u w:val="single"/>
        </w:rPr>
        <w:t>protecting customers under the  winter moratorium and hardship provisions</w:t>
      </w:r>
      <w:r w:rsidRPr="00893870">
        <w:t xml:space="preserve"> as well as conservation measures and incentives for using renewable energy sources;” and </w:t>
      </w:r>
    </w:p>
    <w:p w14:paraId="3DF62CDE" w14:textId="77777777" w:rsidR="007967A4" w:rsidRPr="00893870" w:rsidRDefault="007967A4" w:rsidP="00181E7D">
      <w:pPr>
        <w:numPr>
          <w:ilvl w:val="0"/>
          <w:numId w:val="31"/>
        </w:numPr>
        <w:spacing w:line="480" w:lineRule="auto"/>
        <w:ind w:left="2160" w:hanging="720"/>
      </w:pPr>
      <w:r w:rsidRPr="00893870">
        <w:t>“</w:t>
      </w:r>
      <w:r w:rsidRPr="00E0362D">
        <w:rPr>
          <w:u w:val="single"/>
        </w:rPr>
        <w:t>the assurance of safe, reliable and available electric service to all customers in a uniform and equitable manner</w:t>
      </w:r>
      <w:r w:rsidRPr="00893870">
        <w:t xml:space="preserve"> is an essential governmental objective and a restructured electric market must provide </w:t>
      </w:r>
      <w:r w:rsidRPr="00E0362D">
        <w:rPr>
          <w:u w:val="single"/>
        </w:rPr>
        <w:t>adequate safeguards to assure universal service</w:t>
      </w:r>
      <w:r w:rsidR="007155F3">
        <w:rPr>
          <w:u w:val="single"/>
        </w:rPr>
        <w:t xml:space="preserve"> </w:t>
      </w:r>
      <w:r w:rsidRPr="00E0362D">
        <w:rPr>
          <w:u w:val="single"/>
        </w:rPr>
        <w:t>and customer service protections</w:t>
      </w:r>
      <w:r w:rsidRPr="00893870">
        <w:t xml:space="preserve">.” </w:t>
      </w:r>
    </w:p>
    <w:p w14:paraId="2824273A" w14:textId="77777777" w:rsidR="007967A4" w:rsidRPr="00E0362D" w:rsidRDefault="007967A4" w:rsidP="00181E7D">
      <w:pPr>
        <w:spacing w:line="480" w:lineRule="auto"/>
        <w:ind w:left="720"/>
      </w:pPr>
      <w:r>
        <w:t xml:space="preserve">In other words, electric restructuring was intended to make service </w:t>
      </w:r>
      <w:r>
        <w:rPr>
          <w:i/>
        </w:rPr>
        <w:t>less expensive</w:t>
      </w:r>
      <w:r>
        <w:t xml:space="preserve">, without sacrificing the core public policy protections that existed prior to restructuring. </w:t>
      </w:r>
    </w:p>
    <w:p w14:paraId="0E01A91A" w14:textId="77777777" w:rsidR="007967A4" w:rsidRPr="000A5ECC" w:rsidRDefault="007967A4" w:rsidP="00181E7D">
      <w:pPr>
        <w:spacing w:line="480" w:lineRule="auto"/>
        <w:ind w:left="720" w:hanging="720"/>
        <w:rPr>
          <w:b/>
        </w:rPr>
      </w:pPr>
      <w:r w:rsidRPr="000A5ECC">
        <w:rPr>
          <w:b/>
        </w:rPr>
        <w:t xml:space="preserve">Q. </w:t>
      </w:r>
      <w:r w:rsidRPr="000A5ECC">
        <w:rPr>
          <w:b/>
        </w:rPr>
        <w:tab/>
        <w:t>Beyond the general principles set forth by the legislature, what were the anticipated benefits of introducing competition into retail supply?</w:t>
      </w:r>
    </w:p>
    <w:p w14:paraId="70C0F36E" w14:textId="77777777" w:rsidR="007967A4" w:rsidRPr="00893870" w:rsidRDefault="007967A4" w:rsidP="00181E7D">
      <w:pPr>
        <w:spacing w:line="480" w:lineRule="auto"/>
        <w:ind w:left="720" w:hanging="720"/>
      </w:pPr>
      <w:r>
        <w:t xml:space="preserve">A. </w:t>
      </w:r>
      <w:r>
        <w:tab/>
        <w:t xml:space="preserve">In a 2007 report to Congress, The </w:t>
      </w:r>
      <w:r w:rsidRPr="00893870">
        <w:t>Electric Energy Market Competition Task Force, representing several federal agencies involved in overseeing electric energy markets,</w:t>
      </w:r>
      <w:r>
        <w:t xml:space="preserve"> explained the benefits that states hoped would materialize from retail competition in this way:</w:t>
      </w:r>
      <w:r w:rsidRPr="00893870">
        <w:t xml:space="preserve"> </w:t>
      </w:r>
    </w:p>
    <w:p w14:paraId="3547AA83" w14:textId="77777777" w:rsidR="007967A4" w:rsidRPr="00893870" w:rsidRDefault="007967A4" w:rsidP="00181E7D">
      <w:pPr>
        <w:spacing w:after="240"/>
        <w:ind w:left="1440" w:right="720"/>
      </w:pPr>
      <w:r w:rsidRPr="00893870">
        <w:t>The idea was that customers could obtain electric service at lower prices if they could choose among</w:t>
      </w:r>
      <w:r w:rsidR="00A93FF2">
        <w:t xml:space="preserve"> </w:t>
      </w:r>
      <w:r w:rsidR="007155F3">
        <w:t>s</w:t>
      </w:r>
      <w:r w:rsidR="00A93FF2">
        <w:t>upplier</w:t>
      </w:r>
      <w:r w:rsidRPr="00893870">
        <w:t xml:space="preserve">s. </w:t>
      </w:r>
      <w:r w:rsidR="008D1486">
        <w:t xml:space="preserve"> </w:t>
      </w:r>
      <w:r w:rsidRPr="00893870">
        <w:t>For example, they could buy from</w:t>
      </w:r>
      <w:r w:rsidR="00A93FF2">
        <w:t xml:space="preserve"> </w:t>
      </w:r>
      <w:r w:rsidR="007155F3">
        <w:t>s</w:t>
      </w:r>
      <w:r w:rsidR="00A93FF2">
        <w:t>upplier</w:t>
      </w:r>
      <w:r w:rsidRPr="00893870">
        <w:t xml:space="preserve">s outside their local market, from new entrants into generation, or from power marketers, any of which might charge lower prices than the local distribution utility. </w:t>
      </w:r>
      <w:r w:rsidR="008D1486">
        <w:t xml:space="preserve"> </w:t>
      </w:r>
      <w:r w:rsidRPr="00893870">
        <w:t>The ability to choose among alternative</w:t>
      </w:r>
      <w:r w:rsidR="00A93FF2">
        <w:t xml:space="preserve"> </w:t>
      </w:r>
      <w:r w:rsidR="007155F3">
        <w:t>s</w:t>
      </w:r>
      <w:r w:rsidR="00A93FF2">
        <w:t>upplier</w:t>
      </w:r>
      <w:r w:rsidRPr="00893870">
        <w:t>s was intended to reduce market power that local</w:t>
      </w:r>
      <w:r w:rsidR="00A93FF2">
        <w:t xml:space="preserve"> </w:t>
      </w:r>
      <w:r w:rsidR="007155F3">
        <w:t>s</w:t>
      </w:r>
      <w:r w:rsidR="00A93FF2">
        <w:t>upplier</w:t>
      </w:r>
      <w:r w:rsidRPr="00893870">
        <w:t>s might otherwise have, so that customers might see lower prices from local</w:t>
      </w:r>
      <w:r w:rsidR="00A93FF2">
        <w:t xml:space="preserve"> </w:t>
      </w:r>
      <w:r w:rsidR="007155F3">
        <w:t>s</w:t>
      </w:r>
      <w:r w:rsidR="00A93FF2">
        <w:t>upplier</w:t>
      </w:r>
      <w:r w:rsidRPr="00893870">
        <w:t xml:space="preserve">s. </w:t>
      </w:r>
      <w:r w:rsidR="008D1486">
        <w:t xml:space="preserve"> </w:t>
      </w:r>
      <w:r w:rsidRPr="00893870">
        <w:t>Also, it was thought that new</w:t>
      </w:r>
      <w:r w:rsidR="00A93FF2">
        <w:t xml:space="preserve"> </w:t>
      </w:r>
      <w:r w:rsidR="007155F3">
        <w:t>s</w:t>
      </w:r>
      <w:r w:rsidR="00A93FF2">
        <w:t>upplier</w:t>
      </w:r>
      <w:r w:rsidRPr="00893870">
        <w:t>s might offer innovative price and other terms to purchase electricity that could improve the quality of service.</w:t>
      </w:r>
      <w:r w:rsidRPr="00893870">
        <w:rPr>
          <w:vertAlign w:val="superscript"/>
        </w:rPr>
        <w:footnoteReference w:id="4"/>
      </w:r>
      <w:r w:rsidRPr="00893870">
        <w:t xml:space="preserve">  </w:t>
      </w:r>
    </w:p>
    <w:p w14:paraId="19653EA1" w14:textId="77777777" w:rsidR="007967A4" w:rsidRPr="000A5ECC" w:rsidRDefault="007967A4" w:rsidP="00181E7D">
      <w:pPr>
        <w:spacing w:line="480" w:lineRule="auto"/>
        <w:ind w:left="720" w:hanging="720"/>
        <w:rPr>
          <w:b/>
        </w:rPr>
      </w:pPr>
      <w:r w:rsidRPr="000A5ECC">
        <w:rPr>
          <w:b/>
        </w:rPr>
        <w:t>Q:</w:t>
      </w:r>
      <w:r w:rsidRPr="000A5ECC">
        <w:rPr>
          <w:b/>
        </w:rPr>
        <w:tab/>
        <w:t xml:space="preserve">Does the current law include provisions that prohibit unfair and deceptive sales and marketing practices, truth in billing, and other consumer protection, particularly for residential and small business customers?  </w:t>
      </w:r>
    </w:p>
    <w:p w14:paraId="5C207490" w14:textId="77777777" w:rsidR="007967A4" w:rsidRDefault="007967A4" w:rsidP="00181E7D">
      <w:pPr>
        <w:spacing w:line="480" w:lineRule="auto"/>
        <w:ind w:left="720" w:hanging="720"/>
      </w:pPr>
      <w:r>
        <w:t>A:</w:t>
      </w:r>
      <w:r>
        <w:tab/>
        <w:t>Yes, it does, and the legislature has strengthened these provisions</w:t>
      </w:r>
      <w:r w:rsidR="00387816">
        <w:t>, once consumers had</w:t>
      </w:r>
      <w:r>
        <w:t xml:space="preserve"> experience with</w:t>
      </w:r>
      <w:r w:rsidR="00A93FF2">
        <w:t xml:space="preserve"> Supplier</w:t>
      </w:r>
      <w:r>
        <w:t>s and other industry participants</w:t>
      </w:r>
      <w:r w:rsidR="00387816">
        <w:t>, and reported complaints</w:t>
      </w:r>
      <w:r>
        <w:t xml:space="preserve">.  </w:t>
      </w:r>
      <w:r w:rsidR="00387816">
        <w:t>However, a lack of enforcement has prevented customers from receiving the full benefit of these protections.</w:t>
      </w:r>
    </w:p>
    <w:p w14:paraId="64249C7D" w14:textId="77777777" w:rsidR="007967A4" w:rsidRPr="000A5ECC" w:rsidRDefault="007967A4" w:rsidP="00181E7D">
      <w:pPr>
        <w:spacing w:line="480" w:lineRule="auto"/>
        <w:ind w:left="720" w:hanging="720"/>
        <w:rPr>
          <w:b/>
        </w:rPr>
      </w:pPr>
      <w:r w:rsidRPr="000A5ECC">
        <w:rPr>
          <w:b/>
        </w:rPr>
        <w:t xml:space="preserve">Q:  </w:t>
      </w:r>
      <w:r w:rsidRPr="000A5ECC">
        <w:rPr>
          <w:b/>
        </w:rPr>
        <w:tab/>
        <w:t xml:space="preserve">Would you be more specific about the </w:t>
      </w:r>
      <w:r w:rsidR="00FE2B3B">
        <w:rPr>
          <w:b/>
        </w:rPr>
        <w:t xml:space="preserve">existing </w:t>
      </w:r>
      <w:r w:rsidRPr="000A5ECC">
        <w:rPr>
          <w:b/>
        </w:rPr>
        <w:t>protections that relate to</w:t>
      </w:r>
      <w:r w:rsidR="00A93FF2">
        <w:rPr>
          <w:b/>
        </w:rPr>
        <w:t xml:space="preserve"> Supplier</w:t>
      </w:r>
      <w:r w:rsidRPr="000A5ECC">
        <w:rPr>
          <w:b/>
        </w:rPr>
        <w:t xml:space="preserve"> sales and marketing practices? </w:t>
      </w:r>
    </w:p>
    <w:p w14:paraId="6B9461FE" w14:textId="77777777" w:rsidR="007967A4" w:rsidRDefault="007967A4" w:rsidP="00181E7D">
      <w:pPr>
        <w:spacing w:line="480" w:lineRule="auto"/>
        <w:ind w:left="720" w:hanging="720"/>
      </w:pPr>
      <w:r>
        <w:t>A:</w:t>
      </w:r>
      <w:r>
        <w:tab/>
        <w:t xml:space="preserve">As bolstered most recently by revisions adopted in Public Act 11-80, </w:t>
      </w:r>
      <w:r w:rsidR="00A71210">
        <w:t>Conn. Gen. Stat. S</w:t>
      </w:r>
      <w:r>
        <w:t xml:space="preserve">ection </w:t>
      </w:r>
      <w:r w:rsidR="00864AF5">
        <w:t>16-245o</w:t>
      </w:r>
      <w:r>
        <w:t xml:space="preserve"> includes (among others) specific requirements and prohibitions</w:t>
      </w:r>
      <w:r>
        <w:rPr>
          <w:rStyle w:val="FootnoteReference"/>
        </w:rPr>
        <w:footnoteReference w:id="5"/>
      </w:r>
      <w:r>
        <w:t xml:space="preserve"> directed at:</w:t>
      </w:r>
    </w:p>
    <w:p w14:paraId="36802D68" w14:textId="77777777" w:rsidR="007967A4" w:rsidRDefault="007967A4" w:rsidP="00181E7D">
      <w:pPr>
        <w:numPr>
          <w:ilvl w:val="0"/>
          <w:numId w:val="32"/>
        </w:numPr>
        <w:spacing w:line="480" w:lineRule="auto"/>
      </w:pPr>
      <w:r>
        <w:t>Timely and accurate disclosure of rates and other pertinent information</w:t>
      </w:r>
      <w:r w:rsidR="007B45F8">
        <w:t>, including the customer’</w:t>
      </w:r>
      <w:r w:rsidR="003A1993">
        <w:t>s right to cancel service</w:t>
      </w:r>
      <w:r w:rsidR="008F2941">
        <w:t>;</w:t>
      </w:r>
      <w:r w:rsidR="008F2941">
        <w:rPr>
          <w:rStyle w:val="FootnoteReference"/>
        </w:rPr>
        <w:footnoteReference w:id="6"/>
      </w:r>
    </w:p>
    <w:p w14:paraId="6E5ACA6B" w14:textId="77777777" w:rsidR="007967A4" w:rsidRDefault="007967A4" w:rsidP="00181E7D">
      <w:pPr>
        <w:numPr>
          <w:ilvl w:val="0"/>
          <w:numId w:val="32"/>
        </w:numPr>
        <w:spacing w:line="480" w:lineRule="auto"/>
      </w:pPr>
      <w:r>
        <w:t>Verifiable evidence of a customer’s consent to select the</w:t>
      </w:r>
      <w:r w:rsidR="00A93FF2">
        <w:t xml:space="preserve"> Supplier</w:t>
      </w:r>
      <w:r>
        <w:t>’s service</w:t>
      </w:r>
      <w:r w:rsidR="003A1993">
        <w:t xml:space="preserve"> (which the</w:t>
      </w:r>
      <w:r w:rsidR="00A93FF2">
        <w:t xml:space="preserve"> Supplier</w:t>
      </w:r>
      <w:r w:rsidR="003A1993">
        <w:t xml:space="preserve"> must maintain for a minimum of two years)</w:t>
      </w:r>
      <w:r w:rsidR="008F2941">
        <w:t>;</w:t>
      </w:r>
      <w:r w:rsidR="008F2941">
        <w:rPr>
          <w:rStyle w:val="FootnoteReference"/>
        </w:rPr>
        <w:footnoteReference w:id="7"/>
      </w:r>
    </w:p>
    <w:p w14:paraId="2C144A55" w14:textId="77777777" w:rsidR="007967A4" w:rsidRDefault="003A1993" w:rsidP="00181E7D">
      <w:pPr>
        <w:numPr>
          <w:ilvl w:val="0"/>
          <w:numId w:val="32"/>
        </w:numPr>
        <w:spacing w:line="480" w:lineRule="auto"/>
      </w:pPr>
      <w:r>
        <w:t>For any customer with demand of less than 100 kilowatts, a</w:t>
      </w:r>
      <w:r w:rsidR="007967A4">
        <w:t xml:space="preserve"> written contract that discloses all material terms and states terms pertinent to the rates the customer will be paying in a “clear and conspicuous” manner</w:t>
      </w:r>
      <w:r w:rsidR="008F2941">
        <w:t>;</w:t>
      </w:r>
      <w:r w:rsidR="008F2941">
        <w:rPr>
          <w:rStyle w:val="FootnoteReference"/>
        </w:rPr>
        <w:footnoteReference w:id="8"/>
      </w:r>
    </w:p>
    <w:p w14:paraId="2174623E" w14:textId="77777777" w:rsidR="007967A4" w:rsidRDefault="007967A4" w:rsidP="00181E7D">
      <w:pPr>
        <w:numPr>
          <w:ilvl w:val="0"/>
          <w:numId w:val="32"/>
        </w:numPr>
        <w:spacing w:line="480" w:lineRule="auto"/>
      </w:pPr>
      <w:r>
        <w:t>Limitations on door-to-door solicitations, including, among others, time of day restrictions, proper identification, and a requirement that the person making the solicitation “explain all rates, fees, variable charges and terms and conditions for the services provided</w:t>
      </w:r>
      <w:r w:rsidR="00A91021">
        <w:t>.</w:t>
      </w:r>
      <w:r>
        <w:t>”</w:t>
      </w:r>
      <w:r w:rsidR="00254C06">
        <w:rPr>
          <w:rStyle w:val="FootnoteReference"/>
        </w:rPr>
        <w:footnoteReference w:id="9"/>
      </w:r>
    </w:p>
    <w:p w14:paraId="08E9A351" w14:textId="77777777" w:rsidR="007967A4" w:rsidRDefault="007967A4" w:rsidP="00181E7D">
      <w:pPr>
        <w:numPr>
          <w:ilvl w:val="0"/>
          <w:numId w:val="32"/>
        </w:numPr>
        <w:spacing w:line="480" w:lineRule="auto"/>
      </w:pPr>
      <w:r>
        <w:t>Telemarketing restrictions</w:t>
      </w:r>
      <w:r w:rsidR="00254C06">
        <w:rPr>
          <w:rStyle w:val="FootnoteReference"/>
        </w:rPr>
        <w:footnoteReference w:id="10"/>
      </w:r>
      <w:r>
        <w:t xml:space="preserve"> </w:t>
      </w:r>
    </w:p>
    <w:p w14:paraId="062B1626" w14:textId="77777777" w:rsidR="007967A4" w:rsidRDefault="00C075AD" w:rsidP="00181E7D">
      <w:pPr>
        <w:numPr>
          <w:ilvl w:val="0"/>
          <w:numId w:val="32"/>
        </w:numPr>
        <w:spacing w:line="480" w:lineRule="auto"/>
      </w:pPr>
      <w:r>
        <w:t>A l</w:t>
      </w:r>
      <w:r w:rsidR="007967A4">
        <w:t>imitation on the amount that can be charged for termination or cancellation of services.</w:t>
      </w:r>
      <w:r w:rsidR="00254C06">
        <w:rPr>
          <w:rStyle w:val="FootnoteReference"/>
        </w:rPr>
        <w:footnoteReference w:id="11"/>
      </w:r>
    </w:p>
    <w:p w14:paraId="3DFD5A5D" w14:textId="77777777" w:rsidR="00254C06" w:rsidRDefault="00254C06" w:rsidP="00181E7D">
      <w:pPr>
        <w:numPr>
          <w:ilvl w:val="0"/>
          <w:numId w:val="32"/>
        </w:numPr>
        <w:spacing w:line="480" w:lineRule="auto"/>
      </w:pPr>
      <w:r>
        <w:t>Explicit requirement regarding customer notification when fixed rates become variable.</w:t>
      </w:r>
      <w:r>
        <w:rPr>
          <w:rStyle w:val="FootnoteReference"/>
        </w:rPr>
        <w:footnoteReference w:id="12"/>
      </w:r>
    </w:p>
    <w:p w14:paraId="3B808238" w14:textId="77777777" w:rsidR="007967A4" w:rsidRPr="000A5ECC" w:rsidRDefault="007967A4" w:rsidP="00181E7D">
      <w:pPr>
        <w:spacing w:line="480" w:lineRule="auto"/>
        <w:ind w:left="720" w:hanging="720"/>
        <w:rPr>
          <w:b/>
        </w:rPr>
      </w:pPr>
      <w:r w:rsidRPr="000A5ECC">
        <w:rPr>
          <w:b/>
        </w:rPr>
        <w:t xml:space="preserve">Q:  </w:t>
      </w:r>
      <w:r w:rsidRPr="000A5ECC">
        <w:rPr>
          <w:b/>
        </w:rPr>
        <w:tab/>
        <w:t xml:space="preserve">Is </w:t>
      </w:r>
      <w:r w:rsidR="00582972">
        <w:rPr>
          <w:b/>
        </w:rPr>
        <w:t>Conn. Gen. Stat. s</w:t>
      </w:r>
      <w:r w:rsidRPr="000A5ECC">
        <w:rPr>
          <w:b/>
        </w:rPr>
        <w:t xml:space="preserve">ection </w:t>
      </w:r>
      <w:r w:rsidR="00864AF5">
        <w:rPr>
          <w:b/>
        </w:rPr>
        <w:t>16-245o</w:t>
      </w:r>
      <w:r w:rsidRPr="000A5ECC">
        <w:rPr>
          <w:b/>
        </w:rPr>
        <w:t xml:space="preserve"> explicit about</w:t>
      </w:r>
      <w:r w:rsidR="00A93FF2">
        <w:rPr>
          <w:b/>
        </w:rPr>
        <w:t xml:space="preserve"> Supplier</w:t>
      </w:r>
      <w:r w:rsidRPr="000A5ECC">
        <w:rPr>
          <w:b/>
        </w:rPr>
        <w:t>s’ obligation to provide a customer clear and accurate bills, to not make any material change in their contract without express consent from the customer, and to ensure that bills are formatted in the clear and detailed manner required by law</w:t>
      </w:r>
      <w:r w:rsidR="00C075AD">
        <w:rPr>
          <w:b/>
        </w:rPr>
        <w:t>?</w:t>
      </w:r>
    </w:p>
    <w:p w14:paraId="4C106F6A" w14:textId="77777777" w:rsidR="007967A4" w:rsidRDefault="007967A4" w:rsidP="00181E7D">
      <w:pPr>
        <w:spacing w:line="480" w:lineRule="auto"/>
        <w:ind w:left="720" w:hanging="720"/>
      </w:pPr>
      <w:r>
        <w:t>A:</w:t>
      </w:r>
      <w:r>
        <w:tab/>
        <w:t>Yes.</w:t>
      </w:r>
    </w:p>
    <w:p w14:paraId="2D8F23E1" w14:textId="77777777" w:rsidR="007967A4" w:rsidRPr="000A5ECC" w:rsidRDefault="007967A4" w:rsidP="00181E7D">
      <w:pPr>
        <w:spacing w:line="480" w:lineRule="auto"/>
        <w:ind w:left="720" w:hanging="720"/>
        <w:rPr>
          <w:b/>
        </w:rPr>
      </w:pPr>
      <w:r w:rsidRPr="000A5ECC">
        <w:rPr>
          <w:b/>
        </w:rPr>
        <w:t>Q:</w:t>
      </w:r>
      <w:r w:rsidRPr="000A5ECC">
        <w:rPr>
          <w:b/>
        </w:rPr>
        <w:tab/>
      </w:r>
      <w:r w:rsidR="00C075AD">
        <w:rPr>
          <w:b/>
        </w:rPr>
        <w:t xml:space="preserve">Does </w:t>
      </w:r>
      <w:r w:rsidRPr="000A5ECC">
        <w:rPr>
          <w:b/>
        </w:rPr>
        <w:t xml:space="preserve">the law also </w:t>
      </w:r>
      <w:r w:rsidR="00C075AD">
        <w:rPr>
          <w:b/>
        </w:rPr>
        <w:t>make clear</w:t>
      </w:r>
      <w:r w:rsidRPr="000A5ECC">
        <w:rPr>
          <w:b/>
        </w:rPr>
        <w:t xml:space="preserve"> </w:t>
      </w:r>
      <w:r w:rsidR="00A93FF2">
        <w:rPr>
          <w:b/>
        </w:rPr>
        <w:t>that a S</w:t>
      </w:r>
      <w:r w:rsidR="00C075AD">
        <w:rPr>
          <w:b/>
        </w:rPr>
        <w:t>upplier cannot avoid responsibility for actions of its agents</w:t>
      </w:r>
      <w:r w:rsidRPr="000A5ECC">
        <w:rPr>
          <w:b/>
        </w:rPr>
        <w:t>?</w:t>
      </w:r>
    </w:p>
    <w:p w14:paraId="67603791" w14:textId="77777777" w:rsidR="007967A4" w:rsidRDefault="007967A4" w:rsidP="00181E7D">
      <w:pPr>
        <w:spacing w:line="480" w:lineRule="auto"/>
        <w:ind w:left="720" w:hanging="720"/>
      </w:pPr>
      <w:r>
        <w:t>A:</w:t>
      </w:r>
      <w:r>
        <w:tab/>
        <w:t>Yes.</w:t>
      </w:r>
    </w:p>
    <w:p w14:paraId="7140A4CB" w14:textId="77777777" w:rsidR="00254C06" w:rsidRPr="001772C6" w:rsidRDefault="00254C06" w:rsidP="00181E7D">
      <w:pPr>
        <w:spacing w:line="480" w:lineRule="auto"/>
        <w:ind w:left="720" w:hanging="720"/>
        <w:rPr>
          <w:b/>
        </w:rPr>
      </w:pPr>
      <w:r w:rsidRPr="001772C6">
        <w:rPr>
          <w:b/>
        </w:rPr>
        <w:t>Q:</w:t>
      </w:r>
      <w:r w:rsidRPr="001772C6">
        <w:rPr>
          <w:b/>
        </w:rPr>
        <w:tab/>
        <w:t xml:space="preserve">Does </w:t>
      </w:r>
      <w:r w:rsidR="00582972">
        <w:rPr>
          <w:b/>
        </w:rPr>
        <w:t>Conn. Gen. Stat. s</w:t>
      </w:r>
      <w:r w:rsidRPr="001772C6">
        <w:rPr>
          <w:b/>
        </w:rPr>
        <w:t>ection 16-245</w:t>
      </w:r>
      <w:r w:rsidR="00582972">
        <w:rPr>
          <w:b/>
        </w:rPr>
        <w:t>o</w:t>
      </w:r>
      <w:r w:rsidRPr="001772C6">
        <w:rPr>
          <w:b/>
        </w:rPr>
        <w:t xml:space="preserve"> authorize PURA to sanction a </w:t>
      </w:r>
      <w:r w:rsidR="00A93FF2">
        <w:rPr>
          <w:b/>
        </w:rPr>
        <w:t>S</w:t>
      </w:r>
      <w:r w:rsidRPr="001772C6">
        <w:rPr>
          <w:b/>
        </w:rPr>
        <w:t>upplier for an individual act of misconduct?</w:t>
      </w:r>
    </w:p>
    <w:p w14:paraId="57FEE7E5" w14:textId="77777777" w:rsidR="00254C06" w:rsidRDefault="00254C06" w:rsidP="00DE5814">
      <w:pPr>
        <w:widowControl/>
        <w:spacing w:before="120" w:line="480" w:lineRule="auto"/>
        <w:ind w:left="720" w:hanging="720"/>
      </w:pPr>
      <w:r>
        <w:t>A:</w:t>
      </w:r>
      <w:r>
        <w:tab/>
        <w:t>Yes, as</w:t>
      </w:r>
      <w:r w:rsidR="00632046">
        <w:t xml:space="preserve"> we </w:t>
      </w:r>
      <w:r>
        <w:t>discuss more in Section VI</w:t>
      </w:r>
      <w:r w:rsidR="00996D29">
        <w:t xml:space="preserve">, Remedies, “any violation” of </w:t>
      </w:r>
      <w:r w:rsidR="00CE06FB">
        <w:t>S</w:t>
      </w:r>
      <w:r w:rsidR="00996D29">
        <w:t xml:space="preserve">ection </w:t>
      </w:r>
      <w:r w:rsidR="00864AF5">
        <w:t>16-245o</w:t>
      </w:r>
      <w:r w:rsidR="00996D29">
        <w:t xml:space="preserve"> is sufficient to permit PURA to declare the customer’s contract “void and unenforceable,” and “any violation or failure to comply with any provision of this section” makes the</w:t>
      </w:r>
      <w:r w:rsidR="00A93FF2">
        <w:t xml:space="preserve"> Supplier</w:t>
      </w:r>
      <w:r w:rsidR="00996D29">
        <w:t xml:space="preserve"> subject to civil penalties, license suspension or revocation, or a prohibition on accepting new customers.   </w:t>
      </w:r>
    </w:p>
    <w:p w14:paraId="6913289C" w14:textId="77777777" w:rsidR="007967A4" w:rsidRPr="000A5ECC" w:rsidRDefault="007967A4" w:rsidP="00181E7D">
      <w:pPr>
        <w:spacing w:line="480" w:lineRule="auto"/>
        <w:ind w:left="720" w:hanging="720"/>
        <w:rPr>
          <w:b/>
        </w:rPr>
      </w:pPr>
      <w:r w:rsidRPr="000A5ECC">
        <w:rPr>
          <w:b/>
        </w:rPr>
        <w:t>Q</w:t>
      </w:r>
      <w:r w:rsidR="00235510">
        <w:rPr>
          <w:b/>
        </w:rPr>
        <w:t>:</w:t>
      </w:r>
      <w:r w:rsidRPr="000A5ECC">
        <w:rPr>
          <w:b/>
        </w:rPr>
        <w:t xml:space="preserve">  </w:t>
      </w:r>
      <w:r w:rsidRPr="000A5ECC">
        <w:rPr>
          <w:b/>
        </w:rPr>
        <w:tab/>
        <w:t xml:space="preserve">What is your general understanding of the circumstances that gave rise to the current proceeding?  </w:t>
      </w:r>
    </w:p>
    <w:p w14:paraId="1F09E282" w14:textId="77777777" w:rsidR="007967A4" w:rsidRPr="00893870" w:rsidRDefault="007967A4" w:rsidP="00235510">
      <w:pPr>
        <w:spacing w:line="480" w:lineRule="auto"/>
        <w:ind w:left="720" w:hanging="720"/>
      </w:pPr>
      <w:r w:rsidRPr="00893870">
        <w:t>A</w:t>
      </w:r>
      <w:r w:rsidR="00235510">
        <w:t>:</w:t>
      </w:r>
      <w:r w:rsidRPr="00893870">
        <w:t xml:space="preserve">  </w:t>
      </w:r>
      <w:r>
        <w:tab/>
      </w:r>
      <w:r w:rsidR="00A94B70">
        <w:t xml:space="preserve">PURA’s “Request to Establish a New Docket on PURA’s Own Motion” </w:t>
      </w:r>
      <w:r w:rsidR="00387816">
        <w:t>cites</w:t>
      </w:r>
      <w:r w:rsidR="00387816" w:rsidRPr="00893870">
        <w:t xml:space="preserve"> </w:t>
      </w:r>
      <w:r w:rsidRPr="00893870">
        <w:t>both the recent changes in the law and a “spike in customer complaints against various electric</w:t>
      </w:r>
      <w:r w:rsidR="00A93FF2">
        <w:t xml:space="preserve"> Supplier</w:t>
      </w:r>
      <w:r w:rsidRPr="00893870">
        <w:t xml:space="preserve">s in recent months” which make it “necessary for PURA to review the current operations and marketing rules governing participants in the Connecticut electric retail market.”  </w:t>
      </w:r>
      <w:r w:rsidR="00235510">
        <w:t>Of course</w:t>
      </w:r>
      <w:r w:rsidR="00CE06FB">
        <w:t>,</w:t>
      </w:r>
      <w:r w:rsidR="00235510">
        <w:t xml:space="preserve"> within the </w:t>
      </w:r>
      <w:r w:rsidR="00387816">
        <w:t xml:space="preserve">scope and </w:t>
      </w:r>
      <w:r w:rsidR="00235510">
        <w:t xml:space="preserve">timeframe of this proceeding it is not feasible to address </w:t>
      </w:r>
      <w:r w:rsidR="00387816">
        <w:t>Supplier</w:t>
      </w:r>
      <w:r w:rsidR="00235510">
        <w:t>-specific abuses, although based on information in this proceeding</w:t>
      </w:r>
      <w:r w:rsidR="00D403D1">
        <w:t>,</w:t>
      </w:r>
      <w:r w:rsidR="00235510">
        <w:t xml:space="preserve"> future</w:t>
      </w:r>
      <w:r w:rsidR="00A93FF2">
        <w:t xml:space="preserve"> Supplier</w:t>
      </w:r>
      <w:r w:rsidR="00235510">
        <w:t>-sp</w:t>
      </w:r>
      <w:r w:rsidR="00480C5F">
        <w:t>ecific investigations seem well</w:t>
      </w:r>
      <w:r w:rsidR="00591792">
        <w:t>-</w:t>
      </w:r>
      <w:r w:rsidR="00D403D1">
        <w:t xml:space="preserve">warranted.  </w:t>
      </w:r>
      <w:r w:rsidR="00360B58">
        <w:t>In fact, several such proceedings against specific</w:t>
      </w:r>
      <w:r w:rsidR="00A93FF2">
        <w:t xml:space="preserve"> Supplier</w:t>
      </w:r>
      <w:r w:rsidR="00360B58">
        <w:t>s are currently underway at PURA.</w:t>
      </w:r>
      <w:r w:rsidR="00C4025C">
        <w:rPr>
          <w:rStyle w:val="FootnoteReference"/>
        </w:rPr>
        <w:footnoteReference w:id="13"/>
      </w:r>
    </w:p>
    <w:p w14:paraId="5943560A" w14:textId="77777777" w:rsidR="002A3253" w:rsidRDefault="00D72E5F" w:rsidP="0009426F">
      <w:pPr>
        <w:spacing w:line="480" w:lineRule="auto"/>
        <w:ind w:right="720"/>
        <w:outlineLvl w:val="0"/>
        <w:rPr>
          <w:b/>
        </w:rPr>
      </w:pPr>
      <w:r>
        <w:br w:type="page"/>
      </w:r>
      <w:bookmarkStart w:id="26" w:name="_Toc382029117"/>
      <w:bookmarkStart w:id="27" w:name="_Toc373952992"/>
      <w:bookmarkEnd w:id="23"/>
      <w:bookmarkEnd w:id="24"/>
      <w:bookmarkEnd w:id="25"/>
      <w:r w:rsidR="00670811" w:rsidRPr="00436202">
        <w:rPr>
          <w:b/>
        </w:rPr>
        <w:t>I</w:t>
      </w:r>
      <w:r w:rsidR="00670811">
        <w:rPr>
          <w:b/>
        </w:rPr>
        <w:t>I</w:t>
      </w:r>
      <w:r w:rsidR="00670811" w:rsidRPr="00436202">
        <w:rPr>
          <w:b/>
        </w:rPr>
        <w:t>I.</w:t>
      </w:r>
      <w:r w:rsidR="00670811" w:rsidRPr="00436202">
        <w:rPr>
          <w:b/>
        </w:rPr>
        <w:tab/>
      </w:r>
      <w:r w:rsidR="00E5547F">
        <w:rPr>
          <w:b/>
        </w:rPr>
        <w:t>CONSUMER EXPERIENCE</w:t>
      </w:r>
      <w:bookmarkEnd w:id="26"/>
      <w:r w:rsidR="00E5547F">
        <w:rPr>
          <w:b/>
        </w:rPr>
        <w:t xml:space="preserve"> </w:t>
      </w:r>
    </w:p>
    <w:p w14:paraId="07489C0C" w14:textId="77777777" w:rsidR="00E5547F" w:rsidRDefault="00D5510F" w:rsidP="0009426F">
      <w:pPr>
        <w:pStyle w:val="BodyText2"/>
        <w:jc w:val="both"/>
        <w:outlineLvl w:val="1"/>
        <w:rPr>
          <w:b/>
        </w:rPr>
      </w:pPr>
      <w:bookmarkStart w:id="28" w:name="_Toc373952993"/>
      <w:bookmarkStart w:id="29" w:name="_Toc382029118"/>
      <w:bookmarkEnd w:id="27"/>
      <w:r>
        <w:rPr>
          <w:b/>
        </w:rPr>
        <w:t>Overview</w:t>
      </w:r>
      <w:bookmarkEnd w:id="28"/>
      <w:bookmarkEnd w:id="29"/>
    </w:p>
    <w:p w14:paraId="079726BE" w14:textId="77777777" w:rsidR="00E5547F" w:rsidRDefault="00E5547F" w:rsidP="002C2583">
      <w:pPr>
        <w:pStyle w:val="BodyText2"/>
        <w:ind w:left="720" w:hanging="720"/>
        <w:jc w:val="both"/>
      </w:pPr>
      <w:r>
        <w:rPr>
          <w:b/>
        </w:rPr>
        <w:t>Q:</w:t>
      </w:r>
      <w:r>
        <w:rPr>
          <w:b/>
        </w:rPr>
        <w:tab/>
        <w:t xml:space="preserve">How did you </w:t>
      </w:r>
      <w:r w:rsidR="000A5ECC">
        <w:rPr>
          <w:b/>
        </w:rPr>
        <w:t xml:space="preserve">go about </w:t>
      </w:r>
      <w:r>
        <w:rPr>
          <w:b/>
        </w:rPr>
        <w:t>assess</w:t>
      </w:r>
      <w:r w:rsidR="000A5ECC">
        <w:rPr>
          <w:b/>
        </w:rPr>
        <w:t>ing</w:t>
      </w:r>
      <w:r>
        <w:rPr>
          <w:b/>
        </w:rPr>
        <w:t xml:space="preserve"> consumers’ experience purchasing electricity from</w:t>
      </w:r>
      <w:r w:rsidR="00A93FF2">
        <w:rPr>
          <w:b/>
        </w:rPr>
        <w:t xml:space="preserve"> Supplier</w:t>
      </w:r>
      <w:r>
        <w:rPr>
          <w:b/>
        </w:rPr>
        <w:t>s?</w:t>
      </w:r>
    </w:p>
    <w:p w14:paraId="4CB60B35" w14:textId="77777777" w:rsidR="00E5547F" w:rsidRPr="00E5547F" w:rsidRDefault="00E5547F" w:rsidP="002C2583">
      <w:pPr>
        <w:pStyle w:val="BodyText2"/>
        <w:ind w:left="720" w:hanging="720"/>
      </w:pPr>
      <w:r>
        <w:t>A:</w:t>
      </w:r>
      <w:r>
        <w:tab/>
      </w:r>
      <w:r w:rsidR="007A45A7">
        <w:t>We</w:t>
      </w:r>
      <w:r>
        <w:t xml:space="preserve"> analyzed complaints that PURA recorded on their standard “intake forms”</w:t>
      </w:r>
      <w:r w:rsidR="00C075AD">
        <w:t xml:space="preserve"> for a time period in 2013. </w:t>
      </w:r>
      <w:r w:rsidR="00A93FF2">
        <w:t xml:space="preserve"> W</w:t>
      </w:r>
      <w:r w:rsidR="00632046">
        <w:t xml:space="preserve">e </w:t>
      </w:r>
      <w:r w:rsidR="00E54D25">
        <w:t xml:space="preserve">also </w:t>
      </w:r>
      <w:r>
        <w:t xml:space="preserve">analyzed the prices that </w:t>
      </w:r>
      <w:r w:rsidR="00E54D25">
        <w:t xml:space="preserve">residential </w:t>
      </w:r>
      <w:r>
        <w:t>consumers pay</w:t>
      </w:r>
      <w:r w:rsidR="00A93FF2">
        <w:t xml:space="preserve"> Supplier</w:t>
      </w:r>
      <w:r w:rsidR="00E54D25">
        <w:t xml:space="preserve">s and compared this to what they would have paid at EDCs’ </w:t>
      </w:r>
      <w:r>
        <w:t xml:space="preserve">standard rates.   </w:t>
      </w:r>
    </w:p>
    <w:p w14:paraId="7ED8D554" w14:textId="77777777" w:rsidR="00670811" w:rsidRDefault="00670811" w:rsidP="002C2583">
      <w:pPr>
        <w:pStyle w:val="BodyText2"/>
        <w:rPr>
          <w:b/>
        </w:rPr>
      </w:pPr>
      <w:r w:rsidRPr="007E277B">
        <w:rPr>
          <w:b/>
        </w:rPr>
        <w:t>Q:</w:t>
      </w:r>
      <w:r w:rsidRPr="007E277B">
        <w:rPr>
          <w:b/>
        </w:rPr>
        <w:tab/>
      </w:r>
      <w:r w:rsidR="00E5547F">
        <w:rPr>
          <w:b/>
        </w:rPr>
        <w:t xml:space="preserve">Please describe the </w:t>
      </w:r>
      <w:r w:rsidR="00A77769">
        <w:rPr>
          <w:b/>
        </w:rPr>
        <w:t>consumers’ complaints to PURA</w:t>
      </w:r>
      <w:r w:rsidR="000A5ECC">
        <w:rPr>
          <w:b/>
        </w:rPr>
        <w:t xml:space="preserve"> that you examined</w:t>
      </w:r>
      <w:r w:rsidR="00E5547F">
        <w:rPr>
          <w:b/>
        </w:rPr>
        <w:t>.</w:t>
      </w:r>
    </w:p>
    <w:p w14:paraId="5F7CF8FD" w14:textId="77777777" w:rsidR="002A3253" w:rsidRDefault="00670811" w:rsidP="002C2583">
      <w:pPr>
        <w:spacing w:line="480" w:lineRule="auto"/>
        <w:ind w:left="720" w:hanging="720"/>
      </w:pPr>
      <w:r>
        <w:t>A:</w:t>
      </w:r>
      <w:r>
        <w:tab/>
      </w:r>
      <w:r w:rsidR="007A45A7">
        <w:t>We</w:t>
      </w:r>
      <w:r w:rsidR="00A77769">
        <w:t xml:space="preserve"> reviewed </w:t>
      </w:r>
      <w:r w:rsidR="00686A56">
        <w:t xml:space="preserve">818 </w:t>
      </w:r>
      <w:r w:rsidR="000029E9">
        <w:t>PURA Intake Form</w:t>
      </w:r>
      <w:r w:rsidR="00CE06FB">
        <w:t>s</w:t>
      </w:r>
      <w:r w:rsidR="000029E9">
        <w:t xml:space="preserve"> that concerned </w:t>
      </w:r>
      <w:r w:rsidR="00A77769">
        <w:t>residential complaints</w:t>
      </w:r>
      <w:r w:rsidR="000029E9">
        <w:t xml:space="preserve">.  The complaints concerned </w:t>
      </w:r>
      <w:r w:rsidR="00D424C3">
        <w:t xml:space="preserve">the </w:t>
      </w:r>
      <w:r w:rsidR="00243BC4">
        <w:t xml:space="preserve">prices, </w:t>
      </w:r>
      <w:r w:rsidR="00D424C3">
        <w:t>sales and marketing of</w:t>
      </w:r>
      <w:r w:rsidR="00A93FF2">
        <w:t xml:space="preserve"> Supplier</w:t>
      </w:r>
      <w:r w:rsidR="00D424C3">
        <w:t xml:space="preserve">s’ electric services </w:t>
      </w:r>
      <w:r w:rsidR="000029E9">
        <w:t xml:space="preserve">and were </w:t>
      </w:r>
      <w:r w:rsidR="00D424C3">
        <w:t>communicated, typically by telephone</w:t>
      </w:r>
      <w:r w:rsidR="00CE06FB">
        <w:t>,</w:t>
      </w:r>
      <w:r w:rsidR="00D424C3">
        <w:t xml:space="preserve"> but also by e-mail and written correspondence, to PURA between </w:t>
      </w:r>
      <w:r w:rsidR="005C5B18">
        <w:t xml:space="preserve">approximately </w:t>
      </w:r>
      <w:r w:rsidR="00D424C3">
        <w:t xml:space="preserve">January </w:t>
      </w:r>
      <w:r w:rsidR="005C5B18">
        <w:t xml:space="preserve">through </w:t>
      </w:r>
      <w:r w:rsidR="00243BC4">
        <w:t>September</w:t>
      </w:r>
      <w:r w:rsidR="00D424C3">
        <w:t xml:space="preserve"> 2013</w:t>
      </w:r>
      <w:r w:rsidR="00A77769">
        <w:t>.</w:t>
      </w:r>
      <w:r w:rsidR="00A77769">
        <w:rPr>
          <w:rStyle w:val="FootnoteReference"/>
        </w:rPr>
        <w:footnoteReference w:id="14"/>
      </w:r>
      <w:r w:rsidR="00243BC4">
        <w:t xml:space="preserve"> </w:t>
      </w:r>
      <w:r w:rsidR="00E5547F">
        <w:t xml:space="preserve">  PURA Staff recorded e</w:t>
      </w:r>
      <w:r w:rsidR="00D424C3">
        <w:t xml:space="preserve">ach complaint </w:t>
      </w:r>
      <w:r w:rsidR="00E5547F">
        <w:t xml:space="preserve">on an </w:t>
      </w:r>
      <w:r w:rsidR="00181E7D">
        <w:t>I</w:t>
      </w:r>
      <w:r w:rsidR="00E5547F">
        <w:t xml:space="preserve">ntake </w:t>
      </w:r>
      <w:r w:rsidR="00181E7D">
        <w:t>F</w:t>
      </w:r>
      <w:r w:rsidR="00E5547F">
        <w:t>orm</w:t>
      </w:r>
      <w:r w:rsidR="00C075AD">
        <w:t>, which</w:t>
      </w:r>
      <w:r w:rsidR="00E5547F">
        <w:t xml:space="preserve"> </w:t>
      </w:r>
      <w:r w:rsidR="00D424C3">
        <w:t>includes various “fields” of information</w:t>
      </w:r>
      <w:r w:rsidR="00E54D25">
        <w:t>,</w:t>
      </w:r>
      <w:r w:rsidR="00D424C3">
        <w:t xml:space="preserve"> including the </w:t>
      </w:r>
      <w:r w:rsidR="00181E7D">
        <w:t xml:space="preserve">date of contact; the </w:t>
      </w:r>
      <w:r w:rsidR="00D424C3">
        <w:t>customer’s name</w:t>
      </w:r>
      <w:r w:rsidR="00181E7D">
        <w:t xml:space="preserve"> and</w:t>
      </w:r>
      <w:r w:rsidR="00D424C3">
        <w:t xml:space="preserve"> address</w:t>
      </w:r>
      <w:r w:rsidR="00181E7D">
        <w:t>;</w:t>
      </w:r>
      <w:r w:rsidR="00D424C3">
        <w:t xml:space="preserve"> the </w:t>
      </w:r>
      <w:r w:rsidR="007668E3">
        <w:t>category</w:t>
      </w:r>
      <w:r w:rsidR="00E54D25">
        <w:t xml:space="preserve"> of </w:t>
      </w:r>
      <w:r w:rsidR="00D424C3">
        <w:t>the complaint</w:t>
      </w:r>
      <w:r w:rsidR="00E54D25">
        <w:t xml:space="preserve"> (selected from among a fixed set of categories </w:t>
      </w:r>
      <w:r w:rsidR="00D424C3">
        <w:t xml:space="preserve">on </w:t>
      </w:r>
      <w:r w:rsidR="00E54D25">
        <w:t>PURA’s</w:t>
      </w:r>
      <w:r w:rsidR="00D424C3">
        <w:t xml:space="preserve"> intake form</w:t>
      </w:r>
      <w:r w:rsidR="00E54D25">
        <w:t>);</w:t>
      </w:r>
      <w:r w:rsidR="00D424C3">
        <w:t xml:space="preserve"> the date of the </w:t>
      </w:r>
      <w:r w:rsidR="00E54D25">
        <w:t>initial customer contact</w:t>
      </w:r>
      <w:r w:rsidR="00181E7D">
        <w:t>;</w:t>
      </w:r>
      <w:r w:rsidR="00D424C3">
        <w:t xml:space="preserve"> the</w:t>
      </w:r>
      <w:r w:rsidR="00A93FF2">
        <w:t xml:space="preserve"> Supplier</w:t>
      </w:r>
      <w:r w:rsidR="00E54D25">
        <w:t>’s name</w:t>
      </w:r>
      <w:r w:rsidR="00181E7D">
        <w:t>;</w:t>
      </w:r>
      <w:r w:rsidR="00D424C3">
        <w:t xml:space="preserve"> </w:t>
      </w:r>
      <w:r w:rsidR="00A50D21">
        <w:t>the name of the PURA employee handling the complaint</w:t>
      </w:r>
      <w:r w:rsidR="00181E7D">
        <w:t>;</w:t>
      </w:r>
      <w:r w:rsidR="00A50D21">
        <w:t xml:space="preserve"> </w:t>
      </w:r>
      <w:r w:rsidR="00D424C3">
        <w:t>a description of the customer’s complaint</w:t>
      </w:r>
      <w:r w:rsidR="00181E7D">
        <w:t>;</w:t>
      </w:r>
      <w:r w:rsidR="00243BC4">
        <w:t xml:space="preserve"> and information about the</w:t>
      </w:r>
      <w:r w:rsidR="00A93FF2">
        <w:t xml:space="preserve"> Supplier</w:t>
      </w:r>
      <w:r w:rsidR="00243BC4">
        <w:t>’s response</w:t>
      </w:r>
      <w:r w:rsidR="000374EC">
        <w:t>.</w:t>
      </w:r>
      <w:r w:rsidR="00D424C3">
        <w:t xml:space="preserve">  It is </w:t>
      </w:r>
      <w:r w:rsidR="00AD6779">
        <w:t xml:space="preserve">our </w:t>
      </w:r>
      <w:r w:rsidR="00D424C3">
        <w:t xml:space="preserve">understanding that </w:t>
      </w:r>
      <w:r w:rsidR="00632046">
        <w:t>we were</w:t>
      </w:r>
      <w:r w:rsidR="000374EC">
        <w:t xml:space="preserve"> </w:t>
      </w:r>
      <w:r w:rsidR="005C5B18">
        <w:t xml:space="preserve">provided </w:t>
      </w:r>
      <w:r w:rsidR="000374EC">
        <w:t xml:space="preserve">records for all </w:t>
      </w:r>
      <w:r w:rsidR="00D424C3">
        <w:t xml:space="preserve">of </w:t>
      </w:r>
      <w:r w:rsidR="000374EC">
        <w:t xml:space="preserve">the </w:t>
      </w:r>
      <w:r w:rsidR="007668E3">
        <w:t>complaints received by PURA from</w:t>
      </w:r>
      <w:r w:rsidR="00D424C3">
        <w:t xml:space="preserve"> residential consumers during this approximate nine-month period.</w:t>
      </w:r>
    </w:p>
    <w:p w14:paraId="5868FD51" w14:textId="77777777" w:rsidR="00D424C3" w:rsidRDefault="00D424C3" w:rsidP="00BA6069">
      <w:pPr>
        <w:spacing w:line="480" w:lineRule="auto"/>
        <w:ind w:left="720" w:hanging="720"/>
        <w:rPr>
          <w:b/>
        </w:rPr>
      </w:pPr>
      <w:r>
        <w:rPr>
          <w:b/>
        </w:rPr>
        <w:t xml:space="preserve"> </w:t>
      </w:r>
      <w:r w:rsidR="00A50D21">
        <w:rPr>
          <w:b/>
        </w:rPr>
        <w:t>Q:</w:t>
      </w:r>
      <w:r w:rsidR="00A50D21">
        <w:rPr>
          <w:b/>
        </w:rPr>
        <w:tab/>
        <w:t>How did you go about analyzing this information?</w:t>
      </w:r>
    </w:p>
    <w:p w14:paraId="4ECAEC7C" w14:textId="77777777" w:rsidR="00A50D21" w:rsidRDefault="00A50D21" w:rsidP="00BA6069">
      <w:pPr>
        <w:spacing w:line="480" w:lineRule="auto"/>
        <w:ind w:left="720" w:hanging="720"/>
      </w:pPr>
      <w:r>
        <w:t>A:</w:t>
      </w:r>
      <w:r>
        <w:tab/>
        <w:t>As</w:t>
      </w:r>
      <w:r w:rsidR="008B6DBC">
        <w:t xml:space="preserve"> we </w:t>
      </w:r>
      <w:r>
        <w:t>reviewed the complaints,</w:t>
      </w:r>
      <w:r w:rsidR="008B6DBC">
        <w:t xml:space="preserve"> we </w:t>
      </w:r>
      <w:r w:rsidR="0028573B">
        <w:t>excluded th</w:t>
      </w:r>
      <w:r w:rsidR="00243BC4">
        <w:t xml:space="preserve">ose </w:t>
      </w:r>
      <w:r w:rsidR="0028573B">
        <w:t xml:space="preserve">that concerned businesses and then </w:t>
      </w:r>
      <w:r>
        <w:t>cataloged the</w:t>
      </w:r>
      <w:r w:rsidR="00703E4B">
        <w:t xml:space="preserve"> </w:t>
      </w:r>
      <w:r w:rsidR="00181E7D">
        <w:t xml:space="preserve">residential </w:t>
      </w:r>
      <w:r w:rsidR="00703E4B">
        <w:t>complaints</w:t>
      </w:r>
      <w:r w:rsidR="000175E9">
        <w:t xml:space="preserve"> </w:t>
      </w:r>
      <w:r w:rsidR="00035FFE">
        <w:t>by S</w:t>
      </w:r>
      <w:r w:rsidR="005B48D2">
        <w:t>upplier,</w:t>
      </w:r>
      <w:r w:rsidR="00035FFE">
        <w:rPr>
          <w:rStyle w:val="FootnoteReference"/>
        </w:rPr>
        <w:footnoteReference w:id="15"/>
      </w:r>
      <w:r w:rsidR="005B48D2">
        <w:t xml:space="preserve"> by municipality, according to the reasons that the customer complained, whether there was an indication that the customer w</w:t>
      </w:r>
      <w:r w:rsidR="000374EC">
        <w:t>as</w:t>
      </w:r>
      <w:r w:rsidR="005B48D2">
        <w:t xml:space="preserve"> </w:t>
      </w:r>
      <w:r w:rsidR="00E54ADF">
        <w:t>a Senior</w:t>
      </w:r>
      <w:r w:rsidR="005B48D2">
        <w:t xml:space="preserve"> or </w:t>
      </w:r>
      <w:r w:rsidR="000374EC">
        <w:t xml:space="preserve">spoke </w:t>
      </w:r>
      <w:r w:rsidR="005B48D2">
        <w:t xml:space="preserve">English as </w:t>
      </w:r>
      <w:r w:rsidR="005C5B18">
        <w:t xml:space="preserve">a </w:t>
      </w:r>
      <w:r w:rsidR="005B48D2">
        <w:t>second language, whether there was an indication that the transaction with the</w:t>
      </w:r>
      <w:r w:rsidR="00A93FF2">
        <w:t xml:space="preserve"> Supplier</w:t>
      </w:r>
      <w:r w:rsidR="005B48D2">
        <w:t xml:space="preserve"> originated with door-to-door sales, whether the</w:t>
      </w:r>
      <w:r w:rsidR="00A93FF2">
        <w:t xml:space="preserve"> Supplier</w:t>
      </w:r>
      <w:r w:rsidR="005B48D2">
        <w:t xml:space="preserve"> gave the customer a credit, and the size of the credit. </w:t>
      </w:r>
      <w:r>
        <w:t xml:space="preserve"> Based on </w:t>
      </w:r>
      <w:r w:rsidR="00AD6779">
        <w:t xml:space="preserve">our </w:t>
      </w:r>
      <w:r>
        <w:t>detailed analysis,</w:t>
      </w:r>
      <w:r w:rsidR="008B6DBC">
        <w:t xml:space="preserve"> we </w:t>
      </w:r>
      <w:r>
        <w:t xml:space="preserve">then created tables that summarize </w:t>
      </w:r>
      <w:r w:rsidR="005B48D2">
        <w:t xml:space="preserve">these </w:t>
      </w:r>
      <w:r>
        <w:t>various aspects of the complaints</w:t>
      </w:r>
      <w:r w:rsidR="00703E4B">
        <w:t xml:space="preserve">. </w:t>
      </w:r>
      <w:r w:rsidR="005B48D2">
        <w:t xml:space="preserve"> </w:t>
      </w:r>
      <w:r w:rsidR="00701AC9">
        <w:t>OCC’s</w:t>
      </w:r>
      <w:r w:rsidR="00703E4B">
        <w:t xml:space="preserve"> </w:t>
      </w:r>
      <w:r w:rsidR="000374EC">
        <w:t>objective</w:t>
      </w:r>
      <w:r w:rsidR="00703E4B">
        <w:t xml:space="preserve"> is</w:t>
      </w:r>
      <w:r>
        <w:t xml:space="preserve"> to understand how the market works (and does</w:t>
      </w:r>
      <w:r w:rsidR="005C5B18">
        <w:t xml:space="preserve"> </w:t>
      </w:r>
      <w:r>
        <w:t>n</w:t>
      </w:r>
      <w:r w:rsidR="005C5B18">
        <w:t>o</w:t>
      </w:r>
      <w:r>
        <w:t>t work) from the consumer’</w:t>
      </w:r>
      <w:r w:rsidR="0028573B">
        <w:t xml:space="preserve">s </w:t>
      </w:r>
      <w:r>
        <w:t>perspective</w:t>
      </w:r>
      <w:r w:rsidR="000A5ECC">
        <w:t>, and also to assist PURA in identifying and adopting remedies to prevent or at least to minimize the types of consumer harm that now appear prevalent</w:t>
      </w:r>
      <w:r>
        <w:t>.</w:t>
      </w:r>
    </w:p>
    <w:p w14:paraId="59DF25A4" w14:textId="77777777" w:rsidR="004C4249" w:rsidRDefault="004C4249" w:rsidP="00BA6069">
      <w:pPr>
        <w:spacing w:line="480" w:lineRule="auto"/>
        <w:ind w:left="720" w:hanging="720"/>
        <w:rPr>
          <w:b/>
        </w:rPr>
      </w:pPr>
      <w:r>
        <w:rPr>
          <w:b/>
        </w:rPr>
        <w:t>Q:</w:t>
      </w:r>
      <w:r>
        <w:rPr>
          <w:b/>
        </w:rPr>
        <w:tab/>
        <w:t xml:space="preserve">By your tally, </w:t>
      </w:r>
      <w:r w:rsidR="00686A56">
        <w:rPr>
          <w:b/>
        </w:rPr>
        <w:t xml:space="preserve">818 </w:t>
      </w:r>
      <w:r>
        <w:rPr>
          <w:b/>
        </w:rPr>
        <w:t>residential customers of</w:t>
      </w:r>
      <w:r w:rsidR="00A93FF2">
        <w:rPr>
          <w:b/>
        </w:rPr>
        <w:t xml:space="preserve"> Supplier</w:t>
      </w:r>
      <w:r>
        <w:rPr>
          <w:b/>
        </w:rPr>
        <w:t>s complained to PURA between January and September 2013.   How many residential customers do Connecticut’s</w:t>
      </w:r>
      <w:r w:rsidR="00A93FF2">
        <w:rPr>
          <w:b/>
        </w:rPr>
        <w:t xml:space="preserve"> Supplier</w:t>
      </w:r>
      <w:r>
        <w:rPr>
          <w:b/>
        </w:rPr>
        <w:t>s serve in total?</w:t>
      </w:r>
    </w:p>
    <w:p w14:paraId="60B3E130" w14:textId="77777777" w:rsidR="004C4249" w:rsidRDefault="004C4249" w:rsidP="00BA6069">
      <w:pPr>
        <w:spacing w:line="480" w:lineRule="auto"/>
        <w:ind w:left="720" w:hanging="720"/>
      </w:pPr>
      <w:r>
        <w:t>A:</w:t>
      </w:r>
      <w:r>
        <w:tab/>
      </w:r>
      <w:r w:rsidR="002F14DD">
        <w:t xml:space="preserve">Approximately </w:t>
      </w:r>
      <w:r w:rsidR="00A27C7F">
        <w:t>586,000</w:t>
      </w:r>
      <w:r w:rsidR="002F14DD">
        <w:t xml:space="preserve"> households purchase</w:t>
      </w:r>
      <w:r w:rsidR="00A93FF2">
        <w:t xml:space="preserve"> Supplier</w:t>
      </w:r>
      <w:r w:rsidR="002F14DD">
        <w:t>s’ service</w:t>
      </w:r>
      <w:r w:rsidR="00791A91">
        <w:t xml:space="preserve"> (rather than purchasing </w:t>
      </w:r>
      <w:r w:rsidR="007A45A7">
        <w:t xml:space="preserve">the Standard Offer </w:t>
      </w:r>
      <w:r w:rsidR="00A609C0">
        <w:t>directly from the two EDCs)</w:t>
      </w:r>
      <w:r w:rsidR="002F14DD">
        <w:t xml:space="preserve">.  </w:t>
      </w:r>
      <w:r w:rsidR="00703E4B">
        <w:t xml:space="preserve">CL&amp;P bills on behalf of </w:t>
      </w:r>
      <w:r w:rsidR="00243BC4">
        <w:t>449,026</w:t>
      </w:r>
      <w:r w:rsidR="00A27C7F">
        <w:rPr>
          <w:b/>
        </w:rPr>
        <w:t xml:space="preserve"> </w:t>
      </w:r>
      <w:r w:rsidR="002F14DD">
        <w:t xml:space="preserve">residential </w:t>
      </w:r>
      <w:r w:rsidR="00703E4B">
        <w:t>customers</w:t>
      </w:r>
      <w:r w:rsidR="00A609C0">
        <w:t xml:space="preserve"> of</w:t>
      </w:r>
      <w:r w:rsidR="00A93FF2">
        <w:t xml:space="preserve"> Supplier</w:t>
      </w:r>
      <w:r w:rsidR="00A609C0">
        <w:t>s</w:t>
      </w:r>
      <w:r w:rsidR="00A27C7F">
        <w:rPr>
          <w:rStyle w:val="FootnoteReference"/>
        </w:rPr>
        <w:footnoteReference w:id="16"/>
      </w:r>
      <w:r w:rsidR="00692B7A">
        <w:t xml:space="preserve"> </w:t>
      </w:r>
      <w:r w:rsidR="00A27C7F">
        <w:t>and UI</w:t>
      </w:r>
      <w:r w:rsidR="002F14DD">
        <w:t xml:space="preserve"> </w:t>
      </w:r>
      <w:r w:rsidR="00703E4B">
        <w:t xml:space="preserve">bills on behalf of </w:t>
      </w:r>
      <w:r w:rsidR="00A27C7F">
        <w:t xml:space="preserve">137,021 </w:t>
      </w:r>
      <w:r w:rsidR="002F14DD">
        <w:t>residential</w:t>
      </w:r>
      <w:r w:rsidR="00703E4B">
        <w:t xml:space="preserve"> customers</w:t>
      </w:r>
      <w:r w:rsidR="00791A91">
        <w:t xml:space="preserve"> of</w:t>
      </w:r>
      <w:r w:rsidR="00A93FF2">
        <w:t xml:space="preserve"> Supplier</w:t>
      </w:r>
      <w:r w:rsidR="00791A91">
        <w:t>s</w:t>
      </w:r>
      <w:r w:rsidR="00703E4B">
        <w:t>.</w:t>
      </w:r>
      <w:r w:rsidR="00A27C7F" w:rsidRPr="00A27C7F">
        <w:rPr>
          <w:rStyle w:val="FootnoteReference"/>
        </w:rPr>
        <w:t xml:space="preserve"> </w:t>
      </w:r>
      <w:r w:rsidR="00A27C7F">
        <w:rPr>
          <w:rStyle w:val="FootnoteReference"/>
        </w:rPr>
        <w:footnoteReference w:id="17"/>
      </w:r>
    </w:p>
    <w:p w14:paraId="6FD2DBC1" w14:textId="77777777" w:rsidR="00703E4B" w:rsidRDefault="00703E4B" w:rsidP="00BA6069">
      <w:pPr>
        <w:spacing w:line="480" w:lineRule="auto"/>
        <w:ind w:left="720" w:hanging="720"/>
      </w:pPr>
      <w:r>
        <w:rPr>
          <w:b/>
        </w:rPr>
        <w:t>Q:</w:t>
      </w:r>
      <w:r>
        <w:rPr>
          <w:b/>
        </w:rPr>
        <w:tab/>
      </w:r>
      <w:r w:rsidR="00BD75D0">
        <w:rPr>
          <w:b/>
        </w:rPr>
        <w:t>By way of comparison, h</w:t>
      </w:r>
      <w:r>
        <w:rPr>
          <w:b/>
        </w:rPr>
        <w:t xml:space="preserve">ow many </w:t>
      </w:r>
      <w:r w:rsidR="002F14DD">
        <w:rPr>
          <w:b/>
        </w:rPr>
        <w:t xml:space="preserve">residential </w:t>
      </w:r>
      <w:r>
        <w:rPr>
          <w:b/>
        </w:rPr>
        <w:t xml:space="preserve">customers purchase </w:t>
      </w:r>
      <w:r w:rsidR="00EA6D7D">
        <w:rPr>
          <w:b/>
        </w:rPr>
        <w:t xml:space="preserve">the Standard Offer </w:t>
      </w:r>
      <w:r w:rsidR="00181E7D">
        <w:rPr>
          <w:b/>
        </w:rPr>
        <w:t>from the EDCs</w:t>
      </w:r>
      <w:r>
        <w:rPr>
          <w:b/>
        </w:rPr>
        <w:t>?</w:t>
      </w:r>
    </w:p>
    <w:p w14:paraId="07457BD8" w14:textId="77777777" w:rsidR="00A27C7F" w:rsidRDefault="00D64661" w:rsidP="00D64661">
      <w:pPr>
        <w:spacing w:before="100" w:beforeAutospacing="1" w:after="100" w:afterAutospacing="1" w:line="480" w:lineRule="auto"/>
        <w:ind w:left="720" w:hanging="720"/>
      </w:pPr>
      <w:r>
        <w:t>A:</w:t>
      </w:r>
      <w:r>
        <w:tab/>
      </w:r>
      <w:r w:rsidR="00A27C7F">
        <w:t xml:space="preserve">CL&amp;P serves 655,326 residential customers with standard service, and UI serves 150,734 </w:t>
      </w:r>
      <w:r w:rsidR="00A609C0">
        <w:t>customers with standard service</w:t>
      </w:r>
      <w:r w:rsidR="00A27C7F">
        <w:t>.</w:t>
      </w:r>
      <w:r w:rsidR="00A27C7F">
        <w:rPr>
          <w:rStyle w:val="FootnoteReference"/>
        </w:rPr>
        <w:footnoteReference w:id="18"/>
      </w:r>
      <w:r w:rsidR="00A27C7F">
        <w:t xml:space="preserve">  </w:t>
      </w:r>
    </w:p>
    <w:p w14:paraId="0FACC358" w14:textId="77777777" w:rsidR="000D4C42" w:rsidRDefault="000D4C42" w:rsidP="000D4C42">
      <w:pPr>
        <w:spacing w:line="480" w:lineRule="auto"/>
        <w:ind w:left="720" w:hanging="720"/>
        <w:rPr>
          <w:b/>
        </w:rPr>
      </w:pPr>
      <w:r>
        <w:rPr>
          <w:b/>
        </w:rPr>
        <w:t>Q:</w:t>
      </w:r>
      <w:r>
        <w:rPr>
          <w:b/>
        </w:rPr>
        <w:tab/>
        <w:t>In total, then how many residential customers of electricity are there in Connecticut?</w:t>
      </w:r>
    </w:p>
    <w:p w14:paraId="71CED172" w14:textId="77777777" w:rsidR="0004503C" w:rsidRDefault="000D4C42" w:rsidP="000D4C42">
      <w:pPr>
        <w:spacing w:line="480" w:lineRule="auto"/>
        <w:ind w:left="720" w:hanging="720"/>
      </w:pPr>
      <w:r>
        <w:t>A:</w:t>
      </w:r>
      <w:r>
        <w:tab/>
      </w:r>
      <w:r w:rsidR="005A5B64">
        <w:t>There are approximately 1.4 million residential customers</w:t>
      </w:r>
      <w:r w:rsidR="0004503C">
        <w:t xml:space="preserve"> who receive their electric distribution services from one of the state’s two EDCs;</w:t>
      </w:r>
      <w:r w:rsidR="00A93FF2">
        <w:t xml:space="preserve"> Supplier</w:t>
      </w:r>
      <w:r w:rsidR="0004503C">
        <w:t>s serve approximately 42% of this number.</w:t>
      </w:r>
      <w:r>
        <w:rPr>
          <w:rStyle w:val="FootnoteReference"/>
        </w:rPr>
        <w:footnoteReference w:id="19"/>
      </w:r>
      <w:r w:rsidR="009F2F6A">
        <w:t xml:space="preserve">  </w:t>
      </w:r>
    </w:p>
    <w:p w14:paraId="2645F162" w14:textId="77777777" w:rsidR="0004503C" w:rsidRPr="00DE5814" w:rsidRDefault="0004503C" w:rsidP="000D4C42">
      <w:pPr>
        <w:spacing w:line="480" w:lineRule="auto"/>
        <w:ind w:left="720" w:hanging="720"/>
        <w:rPr>
          <w:b/>
        </w:rPr>
      </w:pPr>
      <w:r w:rsidRPr="00DE5814">
        <w:rPr>
          <w:b/>
        </w:rPr>
        <w:t>Q:</w:t>
      </w:r>
      <w:r w:rsidRPr="00DE5814">
        <w:rPr>
          <w:b/>
        </w:rPr>
        <w:tab/>
        <w:t xml:space="preserve">So, is it </w:t>
      </w:r>
      <w:r w:rsidR="00850D2D" w:rsidRPr="00DE5814">
        <w:rPr>
          <w:b/>
        </w:rPr>
        <w:t>accurate</w:t>
      </w:r>
      <w:r w:rsidRPr="00DE5814">
        <w:rPr>
          <w:b/>
        </w:rPr>
        <w:t xml:space="preserve"> to say that how</w:t>
      </w:r>
      <w:r w:rsidR="00A93FF2">
        <w:rPr>
          <w:b/>
        </w:rPr>
        <w:t xml:space="preserve"> Supplier</w:t>
      </w:r>
      <w:r w:rsidRPr="00DE5814">
        <w:rPr>
          <w:b/>
        </w:rPr>
        <w:t>s conduct their businesses has a significant impact on Connecticut’s residential consumers?</w:t>
      </w:r>
    </w:p>
    <w:p w14:paraId="644A16E3" w14:textId="77777777" w:rsidR="00E5547F" w:rsidRDefault="0004503C" w:rsidP="000D4C42">
      <w:pPr>
        <w:spacing w:line="480" w:lineRule="auto"/>
        <w:ind w:left="720" w:hanging="720"/>
      </w:pPr>
      <w:r>
        <w:t>A:</w:t>
      </w:r>
      <w:r>
        <w:tab/>
        <w:t xml:space="preserve">Yes.  </w:t>
      </w:r>
      <w:r w:rsidR="00850D2D">
        <w:t xml:space="preserve">Supplier </w:t>
      </w:r>
      <w:r w:rsidR="009F2F6A">
        <w:t>practices clearly affect the well-being and pocketbooks of a substantial portion of Connecticut’s</w:t>
      </w:r>
      <w:r w:rsidR="00850D2D">
        <w:t xml:space="preserve"> residents</w:t>
      </w:r>
      <w:r w:rsidR="009F2F6A">
        <w:t xml:space="preserve">, including some of the state’s most vulnerable residents.   </w:t>
      </w:r>
    </w:p>
    <w:p w14:paraId="095CFDF3" w14:textId="77777777" w:rsidR="004C4249" w:rsidRPr="004C4249" w:rsidRDefault="004C4249" w:rsidP="0085270D">
      <w:pPr>
        <w:spacing w:line="480" w:lineRule="auto"/>
        <w:ind w:left="720" w:hanging="720"/>
        <w:rPr>
          <w:b/>
        </w:rPr>
      </w:pPr>
      <w:r>
        <w:rPr>
          <w:b/>
        </w:rPr>
        <w:t>Q:</w:t>
      </w:r>
      <w:r>
        <w:rPr>
          <w:b/>
        </w:rPr>
        <w:tab/>
        <w:t>The complai</w:t>
      </w:r>
      <w:r w:rsidR="00F2797C">
        <w:rPr>
          <w:b/>
        </w:rPr>
        <w:t>ning customers, then, represent</w:t>
      </w:r>
      <w:r>
        <w:rPr>
          <w:b/>
        </w:rPr>
        <w:t xml:space="preserve"> a seemingly small percentage of the</w:t>
      </w:r>
      <w:r w:rsidR="00A93FF2">
        <w:rPr>
          <w:b/>
        </w:rPr>
        <w:t xml:space="preserve"> Supplier</w:t>
      </w:r>
      <w:r>
        <w:rPr>
          <w:b/>
        </w:rPr>
        <w:t>s’ customer base</w:t>
      </w:r>
      <w:r w:rsidR="005A5B64">
        <w:rPr>
          <w:b/>
        </w:rPr>
        <w:t xml:space="preserve"> of approximately 586,000</w:t>
      </w:r>
      <w:r>
        <w:rPr>
          <w:b/>
        </w:rPr>
        <w:t>.  Please comment.</w:t>
      </w:r>
    </w:p>
    <w:p w14:paraId="4F8713F1" w14:textId="77777777" w:rsidR="004C4249" w:rsidRDefault="00A50D21" w:rsidP="0085270D">
      <w:pPr>
        <w:spacing w:line="480" w:lineRule="auto"/>
        <w:ind w:left="720" w:hanging="720"/>
      </w:pPr>
      <w:r>
        <w:t>A:</w:t>
      </w:r>
      <w:r>
        <w:tab/>
      </w:r>
      <w:r w:rsidR="001C7A11">
        <w:t>T</w:t>
      </w:r>
      <w:r w:rsidR="00152FB6">
        <w:t xml:space="preserve">he </w:t>
      </w:r>
      <w:r w:rsidR="00686A56">
        <w:t xml:space="preserve">818 </w:t>
      </w:r>
      <w:r w:rsidR="00152FB6">
        <w:t>complaints</w:t>
      </w:r>
      <w:r w:rsidR="00E5547F">
        <w:t xml:space="preserve"> </w:t>
      </w:r>
      <w:r w:rsidR="00701AC9">
        <w:t xml:space="preserve">during the first part of 2013 </w:t>
      </w:r>
      <w:r w:rsidR="001C7A11">
        <w:t xml:space="preserve">are likely just </w:t>
      </w:r>
      <w:r w:rsidR="00152FB6">
        <w:t>the “tip of the iceberg</w:t>
      </w:r>
      <w:r w:rsidR="00F2797C">
        <w:t>,</w:t>
      </w:r>
      <w:r w:rsidR="00152FB6">
        <w:t xml:space="preserve">” because they correspond with the subset of consumers who </w:t>
      </w:r>
      <w:r w:rsidR="001C7A11">
        <w:t xml:space="preserve">took </w:t>
      </w:r>
      <w:r w:rsidR="00152FB6">
        <w:t xml:space="preserve">the time to call and to complain to PURA.  One can </w:t>
      </w:r>
      <w:r w:rsidR="00990200">
        <w:t xml:space="preserve">reasonably assume that there </w:t>
      </w:r>
      <w:r w:rsidR="001C7A11">
        <w:t xml:space="preserve">were </w:t>
      </w:r>
      <w:r w:rsidR="00990200">
        <w:t xml:space="preserve">many more consumers who experienced harm but </w:t>
      </w:r>
      <w:r w:rsidR="001C7A11">
        <w:t>did</w:t>
      </w:r>
      <w:r w:rsidR="00990200">
        <w:t xml:space="preserve"> not call PURA for various reasons such as: English is </w:t>
      </w:r>
      <w:r w:rsidR="00FD1CE9">
        <w:t xml:space="preserve">a </w:t>
      </w:r>
      <w:r w:rsidR="00990200">
        <w:t>second language</w:t>
      </w:r>
      <w:r w:rsidR="00FD1CE9">
        <w:t>;</w:t>
      </w:r>
      <w:r w:rsidR="00990200">
        <w:t xml:space="preserve"> they may be </w:t>
      </w:r>
      <w:r w:rsidR="00FD1CE9">
        <w:t xml:space="preserve">nervous </w:t>
      </w:r>
      <w:r w:rsidR="00990200">
        <w:t>to discuss complicated utility matters</w:t>
      </w:r>
      <w:r w:rsidR="00FD1CE9">
        <w:t xml:space="preserve"> which they may not</w:t>
      </w:r>
      <w:r w:rsidR="007E7B18">
        <w:t xml:space="preserve"> fully</w:t>
      </w:r>
      <w:r w:rsidR="00FD1CE9">
        <w:t xml:space="preserve"> understand</w:t>
      </w:r>
      <w:r w:rsidR="00990200">
        <w:t>; consumers may consider utility bills to be unassailable; consumers may not even look at their utility bills</w:t>
      </w:r>
      <w:r w:rsidR="00BD5534">
        <w:t xml:space="preserve"> (especially if they rely on automatic bill payment)</w:t>
      </w:r>
      <w:r w:rsidR="00FD1CE9">
        <w:t>; and/or consumers may assume that a higher electricity bill correlates to higher electricity usage</w:t>
      </w:r>
      <w:r w:rsidR="00990200">
        <w:t>.</w:t>
      </w:r>
      <w:r w:rsidR="00833F40">
        <w:t xml:space="preserve">  </w:t>
      </w:r>
      <w:r w:rsidR="00701AC9">
        <w:t>Moreover, it is OCC’s understanding that there has been a substantial uptick in customer complaints in the second half of 2013 and the early part of 2014.</w:t>
      </w:r>
      <w:r w:rsidR="007E7B18">
        <w:t xml:space="preserve">  In addition, there have been </w:t>
      </w:r>
      <w:r w:rsidR="00146C27">
        <w:t xml:space="preserve">roughly 150 </w:t>
      </w:r>
      <w:r w:rsidR="007E7B18">
        <w:t xml:space="preserve">additional </w:t>
      </w:r>
      <w:r w:rsidR="00BC69E7">
        <w:t>Customer Comments (almost uniformly negative)</w:t>
      </w:r>
      <w:r w:rsidR="007E7B18">
        <w:t xml:space="preserve"> submitted into the record by consumers as part of this docket,</w:t>
      </w:r>
      <w:r w:rsidR="00146C27">
        <w:t xml:space="preserve"> to date,</w:t>
      </w:r>
      <w:r w:rsidR="007E7B18">
        <w:t xml:space="preserve"> and more are </w:t>
      </w:r>
      <w:r w:rsidR="00146C27">
        <w:t>have been arriving daily.</w:t>
      </w:r>
      <w:r w:rsidR="007E7B18">
        <w:t xml:space="preserve">  There were also many other complaints raised at PURA’s four public meetings in this docket.  We are in the process of reviewing those additional complaints, and will supplement this testimony once we have done so. </w:t>
      </w:r>
    </w:p>
    <w:p w14:paraId="0C14D507" w14:textId="77777777" w:rsidR="00580316" w:rsidRDefault="00580316" w:rsidP="0085270D">
      <w:pPr>
        <w:spacing w:line="480" w:lineRule="auto"/>
        <w:ind w:left="720" w:hanging="720"/>
        <w:rPr>
          <w:b/>
        </w:rPr>
      </w:pPr>
      <w:r>
        <w:rPr>
          <w:b/>
        </w:rPr>
        <w:t>Q:</w:t>
      </w:r>
      <w:r>
        <w:rPr>
          <w:b/>
        </w:rPr>
        <w:tab/>
        <w:t xml:space="preserve">Is there other </w:t>
      </w:r>
      <w:r w:rsidR="00833F40">
        <w:rPr>
          <w:b/>
        </w:rPr>
        <w:t>information that indicates that</w:t>
      </w:r>
      <w:r>
        <w:rPr>
          <w:b/>
        </w:rPr>
        <w:t xml:space="preserve"> these complaints are evidence of more pervasive harm throughout the market?</w:t>
      </w:r>
    </w:p>
    <w:p w14:paraId="163D242B" w14:textId="77777777" w:rsidR="00580316" w:rsidRPr="00580316" w:rsidRDefault="00580316" w:rsidP="0085270D">
      <w:pPr>
        <w:spacing w:line="480" w:lineRule="auto"/>
        <w:ind w:left="720" w:hanging="720"/>
      </w:pPr>
      <w:r>
        <w:t>A:</w:t>
      </w:r>
      <w:r>
        <w:tab/>
        <w:t>Yes.  In Section IV, below,</w:t>
      </w:r>
      <w:r w:rsidR="008B6DBC">
        <w:t xml:space="preserve"> we </w:t>
      </w:r>
      <w:r>
        <w:t xml:space="preserve">demonstrate through </w:t>
      </w:r>
      <w:r w:rsidR="00AD6779">
        <w:t xml:space="preserve">our </w:t>
      </w:r>
      <w:r>
        <w:t>analy</w:t>
      </w:r>
      <w:r w:rsidR="00833F40">
        <w:t>sis of detailed data regarding S</w:t>
      </w:r>
      <w:r>
        <w:t xml:space="preserve">uppliers’ prices for electricity that the majority of consumers who purchase service from </w:t>
      </w:r>
      <w:r w:rsidR="00833F40">
        <w:t>S</w:t>
      </w:r>
      <w:r>
        <w:t xml:space="preserve">uppliers pay more than do their counterparts who purchase </w:t>
      </w:r>
      <w:r w:rsidR="0005718A">
        <w:t xml:space="preserve">the Standard Offer </w:t>
      </w:r>
      <w:r>
        <w:t xml:space="preserve">from CL&amp;P and UI.  </w:t>
      </w:r>
      <w:r w:rsidR="000B0F7A">
        <w:t xml:space="preserve">The fact that </w:t>
      </w:r>
      <w:r w:rsidR="00FF5FEF">
        <w:t xml:space="preserve">some </w:t>
      </w:r>
      <w:r w:rsidR="00833F40">
        <w:t>S</w:t>
      </w:r>
      <w:r w:rsidR="000B0F7A">
        <w:t>uppliers are able to maintain exorbitant rates while retaining their customers is symptomatic of widespread consumer harm and a malfunctioning market.</w:t>
      </w:r>
      <w:r w:rsidR="00785433">
        <w:t xml:space="preserve">  Unless underlying costs of producing goods and services</w:t>
      </w:r>
      <w:r w:rsidR="009F2F6A">
        <w:t xml:space="preserve"> justify otherwise</w:t>
      </w:r>
      <w:r w:rsidR="00785433">
        <w:t xml:space="preserve">, </w:t>
      </w:r>
      <w:r w:rsidR="007E7B18">
        <w:t xml:space="preserve">in a functioning market, </w:t>
      </w:r>
      <w:r w:rsidR="00785433">
        <w:t>competition should create pressure on prices to decline</w:t>
      </w:r>
      <w:r w:rsidR="007E7B18">
        <w:t>; that has not happened in Connecticut</w:t>
      </w:r>
      <w:r w:rsidR="00785433">
        <w:t xml:space="preserve">. </w:t>
      </w:r>
    </w:p>
    <w:p w14:paraId="42A1490F" w14:textId="77777777" w:rsidR="004C4249" w:rsidRPr="00A50D21" w:rsidRDefault="004C4249" w:rsidP="004C4249">
      <w:pPr>
        <w:spacing w:line="480" w:lineRule="auto"/>
        <w:ind w:left="720" w:hanging="720"/>
        <w:rPr>
          <w:b/>
        </w:rPr>
      </w:pPr>
      <w:r>
        <w:rPr>
          <w:b/>
        </w:rPr>
        <w:t>Q:</w:t>
      </w:r>
      <w:r>
        <w:rPr>
          <w:b/>
        </w:rPr>
        <w:tab/>
        <w:t xml:space="preserve">Before you delve into the details of your analyses, please provide an overview of the </w:t>
      </w:r>
      <w:r w:rsidR="00833F40">
        <w:rPr>
          <w:b/>
        </w:rPr>
        <w:t>S</w:t>
      </w:r>
      <w:r>
        <w:rPr>
          <w:b/>
        </w:rPr>
        <w:t>upplier markets “as seen through” the consumer complaints that you reviewed</w:t>
      </w:r>
      <w:r w:rsidR="000B0F7A">
        <w:rPr>
          <w:b/>
        </w:rPr>
        <w:t>.</w:t>
      </w:r>
    </w:p>
    <w:p w14:paraId="407C8A35" w14:textId="77777777" w:rsidR="0085270D" w:rsidRDefault="000B0F7A" w:rsidP="0085270D">
      <w:pPr>
        <w:spacing w:line="480" w:lineRule="auto"/>
        <w:ind w:left="720" w:hanging="720"/>
      </w:pPr>
      <w:r>
        <w:t>A:</w:t>
      </w:r>
      <w:r>
        <w:tab/>
      </w:r>
      <w:r w:rsidR="00AD6779">
        <w:t xml:space="preserve">Our </w:t>
      </w:r>
      <w:r w:rsidR="0085270D">
        <w:t xml:space="preserve">detailed review of hundreds of  “intake forms” for consumer complaints about the </w:t>
      </w:r>
      <w:r>
        <w:t xml:space="preserve">sales and marketing practices </w:t>
      </w:r>
      <w:r w:rsidR="0085270D">
        <w:t xml:space="preserve">of </w:t>
      </w:r>
      <w:r>
        <w:t>3</w:t>
      </w:r>
      <w:r w:rsidR="00D557B6">
        <w:t>3</w:t>
      </w:r>
      <w:r w:rsidR="0085270D">
        <w:t xml:space="preserve"> </w:t>
      </w:r>
      <w:r w:rsidR="0098392D">
        <w:t>S</w:t>
      </w:r>
      <w:r w:rsidR="0085270D">
        <w:t>uppliers</w:t>
      </w:r>
      <w:r>
        <w:t xml:space="preserve"> </w:t>
      </w:r>
      <w:r w:rsidR="0085270D">
        <w:t>that were made to PURA during the first nine months of 2013 show patterns of consumer abuse that have elements that appear to be systemic.</w:t>
      </w:r>
      <w:r w:rsidR="00D557B6">
        <w:rPr>
          <w:rStyle w:val="FootnoteReference"/>
        </w:rPr>
        <w:footnoteReference w:id="20"/>
      </w:r>
      <w:r w:rsidR="0085270D">
        <w:t xml:space="preserve">  There is </w:t>
      </w:r>
      <w:r w:rsidR="00E36411">
        <w:t xml:space="preserve">compelling </w:t>
      </w:r>
      <w:r w:rsidR="0085270D">
        <w:t xml:space="preserve">evidence that, among other things, customers in </w:t>
      </w:r>
      <w:r w:rsidR="00701AC9">
        <w:t xml:space="preserve">at least </w:t>
      </w:r>
      <w:r w:rsidR="009C5DB7">
        <w:t xml:space="preserve">141 of </w:t>
      </w:r>
      <w:r w:rsidR="0085270D">
        <w:t>Connecticut</w:t>
      </w:r>
      <w:r w:rsidR="009C5DB7">
        <w:t xml:space="preserve">’s </w:t>
      </w:r>
      <w:r w:rsidR="00802A79">
        <w:t xml:space="preserve">190 </w:t>
      </w:r>
      <w:r w:rsidR="0085270D">
        <w:t>municipalities</w:t>
      </w:r>
      <w:r w:rsidR="00243BC4">
        <w:rPr>
          <w:rStyle w:val="FootnoteReference"/>
        </w:rPr>
        <w:footnoteReference w:id="21"/>
      </w:r>
      <w:r w:rsidR="0085270D">
        <w:t xml:space="preserve"> are being misled, harassed, slammed, and </w:t>
      </w:r>
      <w:r w:rsidR="00833F40">
        <w:t xml:space="preserve">charged significantly more </w:t>
      </w:r>
      <w:r w:rsidR="0085270D">
        <w:t xml:space="preserve">by </w:t>
      </w:r>
      <w:r w:rsidR="00833F40">
        <w:t xml:space="preserve">Suppliers than if they purchased service under a Standard Offer. </w:t>
      </w:r>
    </w:p>
    <w:p w14:paraId="04CEF138" w14:textId="77777777" w:rsidR="000B0F7A" w:rsidRDefault="000B0F7A" w:rsidP="0085270D">
      <w:pPr>
        <w:spacing w:line="480" w:lineRule="auto"/>
        <w:ind w:left="720" w:hanging="720"/>
        <w:rPr>
          <w:b/>
        </w:rPr>
      </w:pPr>
      <w:r>
        <w:rPr>
          <w:b/>
        </w:rPr>
        <w:t>Q:</w:t>
      </w:r>
      <w:r>
        <w:rPr>
          <w:b/>
        </w:rPr>
        <w:tab/>
        <w:t>But customers voluntarily choose to mi</w:t>
      </w:r>
      <w:r w:rsidR="0098392D">
        <w:rPr>
          <w:b/>
        </w:rPr>
        <w:t xml:space="preserve">grate from </w:t>
      </w:r>
      <w:r w:rsidR="0005718A">
        <w:rPr>
          <w:b/>
        </w:rPr>
        <w:t xml:space="preserve">the Standard Offer </w:t>
      </w:r>
      <w:r w:rsidR="0098392D">
        <w:rPr>
          <w:b/>
        </w:rPr>
        <w:t>to S</w:t>
      </w:r>
      <w:r>
        <w:rPr>
          <w:b/>
        </w:rPr>
        <w:t>uppliers</w:t>
      </w:r>
      <w:r w:rsidR="007E7B18">
        <w:rPr>
          <w:b/>
        </w:rPr>
        <w:t>, correct?</w:t>
      </w:r>
      <w:r w:rsidR="003740A1">
        <w:rPr>
          <w:b/>
        </w:rPr>
        <w:t xml:space="preserve">  As long as </w:t>
      </w:r>
      <w:r w:rsidR="00785433">
        <w:rPr>
          <w:b/>
        </w:rPr>
        <w:t>it</w:t>
      </w:r>
      <w:r w:rsidR="003740A1">
        <w:rPr>
          <w:b/>
        </w:rPr>
        <w:t xml:space="preserve"> is an option and</w:t>
      </w:r>
      <w:r w:rsidR="0098392D">
        <w:rPr>
          <w:b/>
        </w:rPr>
        <w:t xml:space="preserve"> not a requirement to select a S</w:t>
      </w:r>
      <w:r w:rsidR="003740A1">
        <w:rPr>
          <w:b/>
        </w:rPr>
        <w:t>upplier, why should PURA be concerned</w:t>
      </w:r>
      <w:r w:rsidR="0098392D">
        <w:rPr>
          <w:b/>
        </w:rPr>
        <w:t xml:space="preserve"> about the</w:t>
      </w:r>
      <w:r w:rsidR="00A93FF2">
        <w:rPr>
          <w:b/>
        </w:rPr>
        <w:t xml:space="preserve"> Supplier</w:t>
      </w:r>
      <w:r w:rsidR="00BA7E4C">
        <w:rPr>
          <w:b/>
        </w:rPr>
        <w:t xml:space="preserve"> market</w:t>
      </w:r>
      <w:r w:rsidR="003740A1">
        <w:rPr>
          <w:b/>
        </w:rPr>
        <w:t>?</w:t>
      </w:r>
    </w:p>
    <w:p w14:paraId="12089C48" w14:textId="77777777" w:rsidR="000B0F7A" w:rsidRDefault="000B0F7A" w:rsidP="0085270D">
      <w:pPr>
        <w:spacing w:line="480" w:lineRule="auto"/>
        <w:ind w:left="720" w:hanging="720"/>
      </w:pPr>
      <w:r>
        <w:t>A:</w:t>
      </w:r>
      <w:r>
        <w:tab/>
      </w:r>
      <w:r w:rsidR="003740A1">
        <w:t>PURA should be concerned because the</w:t>
      </w:r>
      <w:r w:rsidR="005734FE">
        <w:t xml:space="preserve"> process of selecting a S</w:t>
      </w:r>
      <w:r>
        <w:t>upplier is flawed.  Advertising and sales pitches are misleading</w:t>
      </w:r>
      <w:r w:rsidR="00FF5FEF">
        <w:t>,</w:t>
      </w:r>
      <w:r>
        <w:t xml:space="preserve"> and consumers are either not informed or are inadequately informed about the range of rates that they may </w:t>
      </w:r>
      <w:r w:rsidR="00FF5FEF">
        <w:t xml:space="preserve">be billed </w:t>
      </w:r>
      <w:r>
        <w:t xml:space="preserve">in the months after they have </w:t>
      </w:r>
      <w:r w:rsidR="007E7B18">
        <w:t>contracted</w:t>
      </w:r>
      <w:r>
        <w:t xml:space="preserve"> with the </w:t>
      </w:r>
      <w:r w:rsidR="005734FE">
        <w:t>S</w:t>
      </w:r>
      <w:r>
        <w:t>upplier.  Also, customers experience serious difficulties</w:t>
      </w:r>
      <w:r w:rsidR="00FF3EF1">
        <w:t xml:space="preserve"> when they attempt to contact the </w:t>
      </w:r>
      <w:r w:rsidR="005734FE">
        <w:t>S</w:t>
      </w:r>
      <w:r w:rsidR="00FF3EF1">
        <w:t>upplier</w:t>
      </w:r>
      <w:r>
        <w:t xml:space="preserve"> to cancel their service – at that point they are no longer “choosing” the </w:t>
      </w:r>
      <w:r w:rsidR="005734FE">
        <w:t>S</w:t>
      </w:r>
      <w:r>
        <w:t>upplier</w:t>
      </w:r>
      <w:r w:rsidR="00FF3EF1">
        <w:t>,</w:t>
      </w:r>
      <w:r>
        <w:t xml:space="preserve"> but instead are captive customers</w:t>
      </w:r>
      <w:r w:rsidR="00FF3EF1">
        <w:t xml:space="preserve">.  </w:t>
      </w:r>
      <w:r w:rsidR="005734FE">
        <w:t>While the S</w:t>
      </w:r>
      <w:r w:rsidR="00FF3EF1">
        <w:t xml:space="preserve">upplier is being unresponsive, these customers are </w:t>
      </w:r>
      <w:r w:rsidR="00E6447A">
        <w:t xml:space="preserve">generally </w:t>
      </w:r>
      <w:r w:rsidR="00FF3EF1">
        <w:t xml:space="preserve">prevented from immediately switching back to </w:t>
      </w:r>
      <w:r w:rsidR="005734FE">
        <w:t xml:space="preserve">the Standard Offer </w:t>
      </w:r>
      <w:r w:rsidR="00FF3EF1">
        <w:t xml:space="preserve">or to a different </w:t>
      </w:r>
      <w:r w:rsidR="005734FE">
        <w:t>S</w:t>
      </w:r>
      <w:r w:rsidR="00FF3EF1">
        <w:t>upplier</w:t>
      </w:r>
      <w:r>
        <w:t>.</w:t>
      </w:r>
      <w:r w:rsidR="003740A1">
        <w:t xml:space="preserve">   Moreover, there is ample evidence that </w:t>
      </w:r>
      <w:r w:rsidR="00E6447A">
        <w:t xml:space="preserve">many </w:t>
      </w:r>
      <w:r w:rsidR="003740A1">
        <w:t xml:space="preserve">customers are “slammed” – that is, they are switched from one company to another one – without </w:t>
      </w:r>
      <w:r w:rsidR="00FF3EF1">
        <w:t>approving</w:t>
      </w:r>
      <w:r w:rsidR="00FF5FEF">
        <w:t xml:space="preserve"> that switch.</w:t>
      </w:r>
      <w:r w:rsidR="003740A1">
        <w:t xml:space="preserve"> </w:t>
      </w:r>
    </w:p>
    <w:p w14:paraId="6F602CB4" w14:textId="77777777" w:rsidR="003740A1" w:rsidRPr="003740A1" w:rsidRDefault="003740A1" w:rsidP="003740A1">
      <w:pPr>
        <w:spacing w:line="480" w:lineRule="auto"/>
        <w:ind w:left="720" w:hanging="720"/>
        <w:rPr>
          <w:b/>
        </w:rPr>
      </w:pPr>
      <w:r>
        <w:rPr>
          <w:b/>
        </w:rPr>
        <w:t>Q:</w:t>
      </w:r>
      <w:r>
        <w:rPr>
          <w:b/>
        </w:rPr>
        <w:tab/>
        <w:t xml:space="preserve">Did your review of the </w:t>
      </w:r>
      <w:r w:rsidR="00686A56">
        <w:rPr>
          <w:b/>
        </w:rPr>
        <w:t xml:space="preserve">818 </w:t>
      </w:r>
      <w:r>
        <w:rPr>
          <w:b/>
        </w:rPr>
        <w:t xml:space="preserve">complaints reveal consumer harm </w:t>
      </w:r>
      <w:r w:rsidR="0013063F">
        <w:rPr>
          <w:b/>
        </w:rPr>
        <w:t>from poor customer service by some</w:t>
      </w:r>
      <w:r w:rsidR="00A93FF2">
        <w:rPr>
          <w:b/>
        </w:rPr>
        <w:t xml:space="preserve"> Supplier</w:t>
      </w:r>
      <w:r w:rsidR="0013063F">
        <w:rPr>
          <w:b/>
        </w:rPr>
        <w:t xml:space="preserve">s?  </w:t>
      </w:r>
    </w:p>
    <w:p w14:paraId="579FD838" w14:textId="77777777" w:rsidR="007F11F6" w:rsidRDefault="003740A1" w:rsidP="0085270D">
      <w:pPr>
        <w:spacing w:line="480" w:lineRule="auto"/>
        <w:ind w:left="720" w:hanging="720"/>
      </w:pPr>
      <w:r>
        <w:t>A</w:t>
      </w:r>
      <w:r>
        <w:tab/>
        <w:t>Yes.  T</w:t>
      </w:r>
      <w:r w:rsidR="0085270D">
        <w:t>here are numerous instances showing that when consumers seek to contact their</w:t>
      </w:r>
      <w:r w:rsidR="00A93FF2">
        <w:t xml:space="preserve"> Supplier</w:t>
      </w:r>
      <w:r w:rsidR="0085270D">
        <w:t xml:space="preserve">s to question their bills or to cancel their service, </w:t>
      </w:r>
      <w:r w:rsidR="008973AE">
        <w:t>they are thwarted by the</w:t>
      </w:r>
      <w:r w:rsidR="00A93FF2">
        <w:t xml:space="preserve"> Supplier</w:t>
      </w:r>
      <w:r w:rsidR="0009161B">
        <w:t>s</w:t>
      </w:r>
      <w:r w:rsidR="008973AE">
        <w:t>’ poor customer service support.  Customers complained that they are put on hold for long periods of time; they may then be shifted over to an answering machine</w:t>
      </w:r>
      <w:r w:rsidR="00754E8C" w:rsidRPr="00754E8C">
        <w:t xml:space="preserve"> </w:t>
      </w:r>
      <w:r w:rsidR="00754E8C">
        <w:t>after a prolonged wait</w:t>
      </w:r>
      <w:r w:rsidR="008973AE">
        <w:t xml:space="preserve">; </w:t>
      </w:r>
      <w:r w:rsidR="00FF3EF1">
        <w:t>and if</w:t>
      </w:r>
      <w:r w:rsidR="008973AE">
        <w:t xml:space="preserve"> they have been given the opportunity to leave a message, </w:t>
      </w:r>
      <w:r w:rsidR="0085270D">
        <w:t>they may not receive a call back from the</w:t>
      </w:r>
      <w:r w:rsidR="00A93FF2">
        <w:t xml:space="preserve"> Supplier</w:t>
      </w:r>
      <w:r w:rsidR="0085270D">
        <w:t xml:space="preserve">’s customer service and billing departments.  </w:t>
      </w:r>
      <w:r w:rsidR="000F57E1">
        <w:t xml:space="preserve">This poor level of customer service </w:t>
      </w:r>
      <w:r w:rsidR="007E7B18">
        <w:t>hampers</w:t>
      </w:r>
      <w:r w:rsidR="000F57E1">
        <w:t xml:space="preserve"> customers’ efforts to cancel their service in a timely manner, and, as a result,</w:t>
      </w:r>
      <w:r w:rsidR="00A93FF2">
        <w:t xml:space="preserve"> Supplier</w:t>
      </w:r>
      <w:r w:rsidR="000F57E1">
        <w:t xml:space="preserve">s “renew” contracts and then charge consumers hefty termination fees.  </w:t>
      </w:r>
      <w:r w:rsidR="0085270D">
        <w:t>Also</w:t>
      </w:r>
      <w:r w:rsidR="00FF5FEF">
        <w:t>,</w:t>
      </w:r>
      <w:r w:rsidR="0085270D">
        <w:t xml:space="preserve"> consumers complain that sales representatives have hung up </w:t>
      </w:r>
      <w:r w:rsidR="00FF5FEF">
        <w:t xml:space="preserve">on </w:t>
      </w:r>
      <w:r w:rsidR="0085270D">
        <w:t>consumers who call to complain</w:t>
      </w:r>
      <w:r w:rsidR="008973AE">
        <w:t xml:space="preserve"> or</w:t>
      </w:r>
      <w:r w:rsidR="0085270D">
        <w:t xml:space="preserve"> th</w:t>
      </w:r>
      <w:r w:rsidR="0013063F">
        <w:t>at th</w:t>
      </w:r>
      <w:r w:rsidR="0085270D">
        <w:t>e representatives are rude</w:t>
      </w:r>
      <w:r w:rsidR="008973AE">
        <w:t>.</w:t>
      </w:r>
    </w:p>
    <w:p w14:paraId="2A36CCAA" w14:textId="77777777" w:rsidR="008973AE" w:rsidRDefault="008973AE" w:rsidP="0085270D">
      <w:pPr>
        <w:spacing w:line="480" w:lineRule="auto"/>
        <w:ind w:left="720" w:hanging="720"/>
        <w:rPr>
          <w:b/>
        </w:rPr>
      </w:pPr>
      <w:r w:rsidDel="008973AE">
        <w:t xml:space="preserve"> </w:t>
      </w:r>
      <w:r w:rsidRPr="00DE5814">
        <w:rPr>
          <w:b/>
        </w:rPr>
        <w:t>Q:</w:t>
      </w:r>
      <w:r w:rsidRPr="00DE5814">
        <w:rPr>
          <w:b/>
        </w:rPr>
        <w:tab/>
        <w:t>What were some of the other practices about which consumers complained?</w:t>
      </w:r>
    </w:p>
    <w:p w14:paraId="135653F4" w14:textId="77777777" w:rsidR="008973AE" w:rsidRDefault="008973AE" w:rsidP="008973AE">
      <w:pPr>
        <w:spacing w:line="480" w:lineRule="auto"/>
        <w:ind w:left="720" w:hanging="720"/>
      </w:pPr>
      <w:r>
        <w:t>A:</w:t>
      </w:r>
      <w:r>
        <w:tab/>
        <w:t>There were multiple cases where consumers complained that</w:t>
      </w:r>
      <w:r w:rsidR="00A93FF2">
        <w:t xml:space="preserve"> Supplier</w:t>
      </w:r>
      <w:r>
        <w:t xml:space="preserve">s had implied or asserted that they represented CL&amp;P or UI.  Consumers also complained that they felt badgered </w:t>
      </w:r>
      <w:r w:rsidR="005274AB">
        <w:t xml:space="preserve">or intimidated </w:t>
      </w:r>
      <w:r>
        <w:t>by persistent door-to-door sales representatives</w:t>
      </w:r>
      <w:r w:rsidR="00E6447A">
        <w:t xml:space="preserve"> and telemarketers</w:t>
      </w:r>
      <w:r>
        <w:t>.</w:t>
      </w:r>
    </w:p>
    <w:p w14:paraId="71DF61F9" w14:textId="77777777" w:rsidR="005734FE" w:rsidRPr="005734FE" w:rsidRDefault="005734FE" w:rsidP="005734FE">
      <w:pPr>
        <w:spacing w:line="480" w:lineRule="auto"/>
        <w:ind w:left="720" w:hanging="720"/>
        <w:rPr>
          <w:b/>
        </w:rPr>
      </w:pPr>
      <w:r w:rsidRPr="005734FE">
        <w:rPr>
          <w:b/>
        </w:rPr>
        <w:t>Q:</w:t>
      </w:r>
      <w:r w:rsidRPr="005734FE">
        <w:rPr>
          <w:b/>
        </w:rPr>
        <w:tab/>
        <w:t xml:space="preserve">Once a customer decides to terminate service with a </w:t>
      </w:r>
      <w:r>
        <w:rPr>
          <w:b/>
        </w:rPr>
        <w:t>S</w:t>
      </w:r>
      <w:r w:rsidRPr="005734FE">
        <w:rPr>
          <w:b/>
        </w:rPr>
        <w:t xml:space="preserve">upplier, is the path to establishing service with the EDC or another </w:t>
      </w:r>
      <w:r>
        <w:rPr>
          <w:b/>
        </w:rPr>
        <w:t>S</w:t>
      </w:r>
      <w:r w:rsidRPr="005734FE">
        <w:rPr>
          <w:b/>
        </w:rPr>
        <w:t>upplier relatively straightforward?</w:t>
      </w:r>
    </w:p>
    <w:p w14:paraId="21BE7F5A" w14:textId="77777777" w:rsidR="005734FE" w:rsidRDefault="005734FE" w:rsidP="005734FE">
      <w:pPr>
        <w:spacing w:line="480" w:lineRule="auto"/>
        <w:ind w:left="720" w:hanging="720"/>
      </w:pPr>
      <w:r>
        <w:t xml:space="preserve">A:  </w:t>
      </w:r>
      <w:r>
        <w:tab/>
      </w:r>
      <w:r w:rsidR="00754E8C">
        <w:t>Absolutely n</w:t>
      </w:r>
      <w:r>
        <w:t>ot.  The complaints reveal that this is a confusing and frustrating process for customers.  As we have already discussed, many customers report difficulty reaching their Supplier by phone to get any form of customer service – but some customers report additional obstacles when the purpose of the call is to cancel service.  Then, customers may be given incorrect information (</w:t>
      </w:r>
      <w:r w:rsidRPr="00DA3DAB">
        <w:rPr>
          <w:i/>
        </w:rPr>
        <w:t>e.g.</w:t>
      </w:r>
      <w:r>
        <w:t>, told they can</w:t>
      </w:r>
      <w:r w:rsidR="005C1943">
        <w:t>not</w:t>
      </w:r>
      <w:r>
        <w:t xml:space="preserve"> terminate or </w:t>
      </w:r>
      <w:r w:rsidR="005C1943">
        <w:t xml:space="preserve">are </w:t>
      </w:r>
      <w:r>
        <w:t>quoted a termination fee that exceeds the statutory maximum).   Customers appear to be unclear on whether they must affirmatively terminate service with their existing Supplier before switching to another Supplier or back to the EDC.  There are also delays that occur in the switching process itself, as a result of how the new service request is handled by the new provider (which could be either a different</w:t>
      </w:r>
      <w:r w:rsidR="00A93FF2">
        <w:t xml:space="preserve"> Supplier</w:t>
      </w:r>
      <w:r>
        <w:t xml:space="preserve"> or could be the EDC) and/or by the EDC.  During the interval between when the customer requests a change in Supplier and when the EDC finally processes that request, the customer is stuck paying the original Supplier, most likely at the same high rates that motivated the customer’s decision to switch</w:t>
      </w:r>
      <w:r w:rsidR="007E7B18">
        <w:t xml:space="preserve"> – in fact, the rate can even increase in that interval</w:t>
      </w:r>
      <w:r>
        <w:t xml:space="preserve">.  </w:t>
      </w:r>
    </w:p>
    <w:p w14:paraId="242856C5" w14:textId="77777777" w:rsidR="00364FB3" w:rsidRPr="00364FB3" w:rsidRDefault="00364FB3" w:rsidP="0085270D">
      <w:pPr>
        <w:spacing w:line="480" w:lineRule="auto"/>
        <w:ind w:left="720" w:hanging="720"/>
        <w:rPr>
          <w:b/>
        </w:rPr>
      </w:pPr>
      <w:r>
        <w:rPr>
          <w:b/>
        </w:rPr>
        <w:t>Q:</w:t>
      </w:r>
      <w:r>
        <w:rPr>
          <w:b/>
        </w:rPr>
        <w:tab/>
        <w:t>Based on your review of the complaints, does it seem that consumers have adequate recourse?</w:t>
      </w:r>
    </w:p>
    <w:p w14:paraId="3A958A73" w14:textId="77777777" w:rsidR="00157C92" w:rsidRDefault="00364FB3" w:rsidP="0085270D">
      <w:pPr>
        <w:spacing w:line="480" w:lineRule="auto"/>
        <w:ind w:left="720" w:hanging="720"/>
      </w:pPr>
      <w:r>
        <w:t>A:</w:t>
      </w:r>
      <w:r>
        <w:tab/>
        <w:t xml:space="preserve">No.  By the time a consumer contacts PURA, the consumer has likely already experienced multiple months of high rates, </w:t>
      </w:r>
      <w:r w:rsidR="00E85E05">
        <w:t xml:space="preserve">and </w:t>
      </w:r>
      <w:r>
        <w:t>aggravation</w:t>
      </w:r>
      <w:r w:rsidR="00E85E05">
        <w:t xml:space="preserve"> if the consumer has experienced poor Supplier customer service</w:t>
      </w:r>
      <w:r w:rsidR="00571176">
        <w:t xml:space="preserve">.  </w:t>
      </w:r>
      <w:r w:rsidR="00A07D47">
        <w:t>The S</w:t>
      </w:r>
      <w:r w:rsidR="000F57E1">
        <w:t xml:space="preserve">uppliers’ pricing practices are making a significant dent in Connecticut consumers’ disposable income, monies which might be spent more productively for other goods and services.  </w:t>
      </w:r>
      <w:r w:rsidR="00571176">
        <w:t xml:space="preserve">The time </w:t>
      </w:r>
      <w:r w:rsidR="000F57E1">
        <w:t>that consumers</w:t>
      </w:r>
      <w:r w:rsidR="00571176">
        <w:t xml:space="preserve"> spent trying</w:t>
      </w:r>
      <w:r w:rsidR="00A07D47">
        <w:t xml:space="preserve"> unsuccessfully to contact the S</w:t>
      </w:r>
      <w:r w:rsidR="00571176">
        <w:t xml:space="preserve">upplier has already been lost, and the harassment </w:t>
      </w:r>
      <w:r w:rsidR="00785433">
        <w:t xml:space="preserve">they experienced from </w:t>
      </w:r>
      <w:r w:rsidR="00571176">
        <w:t xml:space="preserve">sales representatives repeatedly calling trying to make a sale has already been experienced.  </w:t>
      </w:r>
      <w:r w:rsidR="00157C92">
        <w:t>Neither the</w:t>
      </w:r>
      <w:r w:rsidR="009D37C7">
        <w:t>ir</w:t>
      </w:r>
      <w:r w:rsidR="00157C92">
        <w:t xml:space="preserve"> time nor their “peace and quiet” can be reclaimed.</w:t>
      </w:r>
    </w:p>
    <w:p w14:paraId="15ED312D" w14:textId="77777777" w:rsidR="005B48D2" w:rsidRPr="005B48D2" w:rsidRDefault="005B48D2" w:rsidP="0085270D">
      <w:pPr>
        <w:spacing w:line="480" w:lineRule="auto"/>
        <w:ind w:left="720" w:hanging="720"/>
        <w:rPr>
          <w:b/>
        </w:rPr>
      </w:pPr>
      <w:r>
        <w:rPr>
          <w:b/>
        </w:rPr>
        <w:t>Q:</w:t>
      </w:r>
      <w:r>
        <w:rPr>
          <w:b/>
        </w:rPr>
        <w:tab/>
      </w:r>
      <w:r w:rsidR="004363AA">
        <w:rPr>
          <w:b/>
        </w:rPr>
        <w:t>When consumers have complaints, does it seem straightforward for them to</w:t>
      </w:r>
      <w:r w:rsidR="00076195">
        <w:rPr>
          <w:b/>
        </w:rPr>
        <w:t xml:space="preserve"> raise their concerns with the S</w:t>
      </w:r>
      <w:r w:rsidR="004363AA">
        <w:rPr>
          <w:b/>
        </w:rPr>
        <w:t>uppliers?</w:t>
      </w:r>
    </w:p>
    <w:p w14:paraId="47844531" w14:textId="77777777" w:rsidR="00571176" w:rsidRDefault="005B48D2" w:rsidP="0085270D">
      <w:pPr>
        <w:spacing w:line="480" w:lineRule="auto"/>
        <w:ind w:left="720" w:hanging="720"/>
      </w:pPr>
      <w:r>
        <w:t>A:</w:t>
      </w:r>
      <w:r>
        <w:tab/>
      </w:r>
      <w:r w:rsidR="004363AA">
        <w:t xml:space="preserve">No.  </w:t>
      </w:r>
      <w:r w:rsidR="0085270D">
        <w:t>Communication in the electric su</w:t>
      </w:r>
      <w:r w:rsidR="00A07D47">
        <w:t>pply market is often one-way – S</w:t>
      </w:r>
      <w:r w:rsidR="0085270D">
        <w:t xml:space="preserve">uppliers’ sales agents repeatedly call the same customers even when the customers repeatedly request to not be called.  Yet when </w:t>
      </w:r>
      <w:r w:rsidR="00A07D47">
        <w:t>customers attempt to reach the S</w:t>
      </w:r>
      <w:r w:rsidR="0085270D">
        <w:t xml:space="preserve">uppliers, their calls go unanswered.  It is seemingly only when these consumers contact PURA that the companies respond, only then putting these customers on their do-not-call lists or providing a credit as a result of having slammed the customer or having misled them about a “fixed” rate, which subsequently doubled. </w:t>
      </w:r>
    </w:p>
    <w:p w14:paraId="385F4B55" w14:textId="77777777" w:rsidR="005B48D2" w:rsidRDefault="005B48D2" w:rsidP="0085270D">
      <w:pPr>
        <w:spacing w:line="480" w:lineRule="auto"/>
        <w:ind w:left="720" w:hanging="720"/>
        <w:rPr>
          <w:b/>
        </w:rPr>
      </w:pPr>
      <w:r>
        <w:rPr>
          <w:b/>
        </w:rPr>
        <w:t>Q:</w:t>
      </w:r>
      <w:r>
        <w:rPr>
          <w:b/>
        </w:rPr>
        <w:tab/>
        <w:t>Do you have other general observations based on your review of consumer complaints?</w:t>
      </w:r>
    </w:p>
    <w:p w14:paraId="3AD9D040" w14:textId="77777777" w:rsidR="000946EB" w:rsidRDefault="005B48D2" w:rsidP="005B48D2">
      <w:pPr>
        <w:spacing w:line="480" w:lineRule="auto"/>
        <w:ind w:left="720" w:hanging="720"/>
      </w:pPr>
      <w:r>
        <w:t>A:</w:t>
      </w:r>
      <w:r>
        <w:tab/>
        <w:t>Yes.  T</w:t>
      </w:r>
      <w:r w:rsidR="0085270D">
        <w:t xml:space="preserve">he </w:t>
      </w:r>
      <w:r w:rsidR="0041159C">
        <w:t xml:space="preserve">level of </w:t>
      </w:r>
      <w:r w:rsidR="0085270D">
        <w:t>complaints suggest</w:t>
      </w:r>
      <w:r w:rsidR="00CD1A9E">
        <w:t>s</w:t>
      </w:r>
      <w:r w:rsidR="0085270D">
        <w:t xml:space="preserve"> that without regulatory </w:t>
      </w:r>
      <w:r w:rsidR="005274AB">
        <w:t xml:space="preserve">and legislative </w:t>
      </w:r>
      <w:r w:rsidR="0085270D">
        <w:t xml:space="preserve">intervention, the abuse </w:t>
      </w:r>
      <w:r w:rsidR="005274AB">
        <w:t xml:space="preserve">is likely to </w:t>
      </w:r>
      <w:r w:rsidR="0085270D">
        <w:t xml:space="preserve">continue unabated.  Also troubling is that those customers who do not complain to PURA (perhaps because English is their second language, or they are not acquainted with the complaint process, or perhaps because they do not know to question exorbitant rates) may be enduring substantial undetected abuse.  It is difficult to estimate how much unreported abuse is occurring in the market.  </w:t>
      </w:r>
      <w:r w:rsidR="00D557B6">
        <w:t xml:space="preserve"> One such measure is the level </w:t>
      </w:r>
      <w:r w:rsidR="0095715D">
        <w:t>of prices that consumers pay – we</w:t>
      </w:r>
      <w:r w:rsidR="00D557B6">
        <w:t xml:space="preserve"> analyze this barometer of consumer abuse in Section IV.</w:t>
      </w:r>
    </w:p>
    <w:p w14:paraId="5116EEF5" w14:textId="77777777" w:rsidR="000946EB" w:rsidRPr="003E3B79" w:rsidRDefault="000946EB" w:rsidP="005B48D2">
      <w:pPr>
        <w:spacing w:line="480" w:lineRule="auto"/>
        <w:ind w:left="720" w:hanging="720"/>
        <w:rPr>
          <w:b/>
        </w:rPr>
      </w:pPr>
      <w:r w:rsidRPr="003E3B79">
        <w:rPr>
          <w:b/>
        </w:rPr>
        <w:t>Q:</w:t>
      </w:r>
      <w:r w:rsidRPr="003E3B79">
        <w:rPr>
          <w:b/>
        </w:rPr>
        <w:tab/>
        <w:t>Is the harm t</w:t>
      </w:r>
      <w:r w:rsidR="0095715D">
        <w:rPr>
          <w:b/>
        </w:rPr>
        <w:t>o consumers from S</w:t>
      </w:r>
      <w:r w:rsidRPr="003E3B79">
        <w:rPr>
          <w:b/>
        </w:rPr>
        <w:t>uppliers who charge high rates adequately captured by the number of customers who complain to PURA?</w:t>
      </w:r>
    </w:p>
    <w:p w14:paraId="77DA0052" w14:textId="77777777" w:rsidR="0085270D" w:rsidRDefault="000946EB" w:rsidP="005B48D2">
      <w:pPr>
        <w:spacing w:line="480" w:lineRule="auto"/>
        <w:ind w:left="720" w:hanging="720"/>
      </w:pPr>
      <w:r>
        <w:t>A:</w:t>
      </w:r>
      <w:r>
        <w:tab/>
        <w:t xml:space="preserve">No.  Simply because consumers have not complained to PURA does not mean that they are paying just and reasonable rates for service offered at acceptable levels. </w:t>
      </w:r>
      <w:r w:rsidR="0009161B">
        <w:t xml:space="preserve"> </w:t>
      </w:r>
      <w:r w:rsidR="005B48D2">
        <w:t xml:space="preserve">As </w:t>
      </w:r>
      <w:r w:rsidR="0095715D">
        <w:t>we</w:t>
      </w:r>
      <w:r w:rsidR="005B48D2">
        <w:t xml:space="preserve"> mention above, o</w:t>
      </w:r>
      <w:r w:rsidR="0085270D">
        <w:t>ne barometer of abuse is the rate differential between the standard rates that the wholesale companies char</w:t>
      </w:r>
      <w:r w:rsidR="0095715D">
        <w:t xml:space="preserve">ge and retailers’ market rates.  </w:t>
      </w:r>
      <w:r w:rsidR="0085270D">
        <w:t>In competitive markets, consumers may choose to pay more for better service</w:t>
      </w:r>
      <w:r w:rsidR="005B48D2">
        <w:t xml:space="preserve">.  However, </w:t>
      </w:r>
      <w:r w:rsidR="0085270D">
        <w:t xml:space="preserve">in this purportedly competitive market, </w:t>
      </w:r>
      <w:r w:rsidR="0061774F">
        <w:t xml:space="preserve">many </w:t>
      </w:r>
      <w:r w:rsidR="0085270D">
        <w:t xml:space="preserve">consumers pay more for </w:t>
      </w:r>
      <w:r w:rsidR="009D37C7">
        <w:t>inferior</w:t>
      </w:r>
      <w:r w:rsidR="0085270D">
        <w:t xml:space="preserve"> service.  </w:t>
      </w:r>
    </w:p>
    <w:p w14:paraId="014B4965" w14:textId="77777777" w:rsidR="0061774F" w:rsidRDefault="0061774F" w:rsidP="005B48D2">
      <w:pPr>
        <w:spacing w:line="480" w:lineRule="auto"/>
        <w:ind w:left="720" w:hanging="720"/>
      </w:pPr>
      <w:r>
        <w:rPr>
          <w:b/>
        </w:rPr>
        <w:t>Q:</w:t>
      </w:r>
      <w:r>
        <w:rPr>
          <w:b/>
        </w:rPr>
        <w:tab/>
        <w:t>Are you suggesting that there are</w:t>
      </w:r>
      <w:r w:rsidR="002D5612">
        <w:rPr>
          <w:b/>
        </w:rPr>
        <w:t xml:space="preserve"> </w:t>
      </w:r>
      <w:r>
        <w:rPr>
          <w:b/>
        </w:rPr>
        <w:t>n</w:t>
      </w:r>
      <w:r w:rsidR="002D5612">
        <w:rPr>
          <w:b/>
        </w:rPr>
        <w:t>o</w:t>
      </w:r>
      <w:r>
        <w:rPr>
          <w:b/>
        </w:rPr>
        <w:t>t any customers who save money by purchasing electricity from</w:t>
      </w:r>
      <w:r w:rsidR="00A93FF2">
        <w:rPr>
          <w:b/>
        </w:rPr>
        <w:t xml:space="preserve"> Supplier</w:t>
      </w:r>
      <w:r>
        <w:rPr>
          <w:b/>
        </w:rPr>
        <w:t>s</w:t>
      </w:r>
      <w:r w:rsidR="004363AA">
        <w:rPr>
          <w:b/>
        </w:rPr>
        <w:t xml:space="preserve"> or </w:t>
      </w:r>
      <w:r w:rsidR="000946EB">
        <w:rPr>
          <w:b/>
        </w:rPr>
        <w:t>any</w:t>
      </w:r>
      <w:r w:rsidR="00A93FF2">
        <w:rPr>
          <w:b/>
        </w:rPr>
        <w:t xml:space="preserve"> Supplier</w:t>
      </w:r>
      <w:r w:rsidR="004363AA">
        <w:rPr>
          <w:b/>
        </w:rPr>
        <w:t>s for which there are few or no complaints being made to PURA</w:t>
      </w:r>
      <w:r>
        <w:rPr>
          <w:b/>
        </w:rPr>
        <w:t>?</w:t>
      </w:r>
    </w:p>
    <w:p w14:paraId="404B680E" w14:textId="77777777" w:rsidR="007F11F6" w:rsidRDefault="0061774F" w:rsidP="005B48D2">
      <w:pPr>
        <w:spacing w:line="480" w:lineRule="auto"/>
        <w:ind w:left="720" w:hanging="720"/>
      </w:pPr>
      <w:r>
        <w:t>A:</w:t>
      </w:r>
      <w:r>
        <w:tab/>
      </w:r>
      <w:r w:rsidR="004363AA">
        <w:t>No</w:t>
      </w:r>
      <w:r>
        <w:t xml:space="preserve">. </w:t>
      </w:r>
      <w:r w:rsidR="002D5612">
        <w:t xml:space="preserve"> </w:t>
      </w:r>
      <w:r>
        <w:t>Section IV analyzes</w:t>
      </w:r>
      <w:r w:rsidR="00A93FF2">
        <w:t xml:space="preserve"> Supplier</w:t>
      </w:r>
      <w:r w:rsidR="00DC013B">
        <w:t xml:space="preserve"> prices</w:t>
      </w:r>
      <w:r w:rsidR="0041159C">
        <w:t>,</w:t>
      </w:r>
      <w:r w:rsidR="00DC013B">
        <w:t xml:space="preserve"> </w:t>
      </w:r>
      <w:r w:rsidR="0041159C">
        <w:t xml:space="preserve">for one month, </w:t>
      </w:r>
      <w:r w:rsidR="00DC013B">
        <w:t xml:space="preserve">relative to </w:t>
      </w:r>
      <w:r w:rsidR="00CD1A9E">
        <w:t>the EDCs’ Standard Offer</w:t>
      </w:r>
      <w:r w:rsidR="00DC013B">
        <w:t xml:space="preserve"> </w:t>
      </w:r>
      <w:r w:rsidR="00CD1A9E">
        <w:t xml:space="preserve">rate </w:t>
      </w:r>
      <w:r w:rsidR="00DC013B">
        <w:t xml:space="preserve">and includes both </w:t>
      </w:r>
      <w:r>
        <w:t xml:space="preserve">prices that are below </w:t>
      </w:r>
      <w:r w:rsidR="00DC013B">
        <w:t xml:space="preserve">and above the </w:t>
      </w:r>
      <w:r>
        <w:t>standard rates</w:t>
      </w:r>
      <w:r w:rsidR="00DC013B">
        <w:t>.</w:t>
      </w:r>
      <w:r w:rsidR="00181E7D">
        <w:t xml:space="preserve">  </w:t>
      </w:r>
      <w:r w:rsidR="0095715D">
        <w:t>W</w:t>
      </w:r>
      <w:r w:rsidR="004319B1">
        <w:t>e</w:t>
      </w:r>
      <w:r w:rsidR="004363AA">
        <w:t xml:space="preserve"> also identify those</w:t>
      </w:r>
      <w:r w:rsidR="00A93FF2">
        <w:t xml:space="preserve"> Supplier</w:t>
      </w:r>
      <w:r w:rsidR="004363AA">
        <w:t xml:space="preserve">s for which there are few or no complaints.  </w:t>
      </w:r>
      <w:r w:rsidR="00DC013B">
        <w:t xml:space="preserve">Nonetheless, even with some “good actors,” it is not at all clear that the benefits flowing from this market outweigh the harms to consumers.  </w:t>
      </w:r>
      <w:r w:rsidR="0041159C">
        <w:t>Moreover, a month’s worth of prices offer only a snapshot of what the customer at each price point is paying throughout the year.  Some of the customers at prices lower than the price of standard service could well have faced a price increase in subsequent months that could negate any savings they gained at the lower price.</w:t>
      </w:r>
    </w:p>
    <w:p w14:paraId="27E3BC0D" w14:textId="77777777" w:rsidR="005A161C" w:rsidRPr="00DE5814" w:rsidRDefault="005A161C" w:rsidP="005A161C">
      <w:pPr>
        <w:spacing w:line="480" w:lineRule="auto"/>
        <w:ind w:left="720" w:hanging="720"/>
        <w:rPr>
          <w:b/>
        </w:rPr>
      </w:pPr>
      <w:r w:rsidRPr="00DE5814">
        <w:rPr>
          <w:b/>
        </w:rPr>
        <w:t>Q:</w:t>
      </w:r>
      <w:r w:rsidRPr="00DE5814">
        <w:rPr>
          <w:b/>
        </w:rPr>
        <w:tab/>
      </w:r>
      <w:r w:rsidR="003E14D1">
        <w:rPr>
          <w:b/>
        </w:rPr>
        <w:t xml:space="preserve">If </w:t>
      </w:r>
      <w:r w:rsidR="003E14D1" w:rsidRPr="00DE5814">
        <w:rPr>
          <w:b/>
        </w:rPr>
        <w:t>PURA address</w:t>
      </w:r>
      <w:r w:rsidR="009C1547">
        <w:rPr>
          <w:b/>
        </w:rPr>
        <w:t>es</w:t>
      </w:r>
      <w:r w:rsidR="003E14D1" w:rsidRPr="00DE5814">
        <w:rPr>
          <w:b/>
        </w:rPr>
        <w:t xml:space="preserve"> the problems that have been reported</w:t>
      </w:r>
      <w:r w:rsidR="003E14D1">
        <w:rPr>
          <w:b/>
        </w:rPr>
        <w:t>, w</w:t>
      </w:r>
      <w:r w:rsidR="0095715D">
        <w:rPr>
          <w:b/>
        </w:rPr>
        <w:t>ould there be a benefit to S</w:t>
      </w:r>
      <w:r w:rsidR="00E93316" w:rsidRPr="00DE5814">
        <w:rPr>
          <w:b/>
        </w:rPr>
        <w:t xml:space="preserve">uppliers </w:t>
      </w:r>
      <w:r w:rsidRPr="00DE5814">
        <w:rPr>
          <w:b/>
        </w:rPr>
        <w:t>who are not the su</w:t>
      </w:r>
      <w:r w:rsidR="00E93316" w:rsidRPr="00DE5814">
        <w:rPr>
          <w:b/>
        </w:rPr>
        <w:t>bject of consumer complaints?</w:t>
      </w:r>
    </w:p>
    <w:p w14:paraId="66B2114B" w14:textId="77777777" w:rsidR="0085270D" w:rsidRDefault="005A161C" w:rsidP="005A161C">
      <w:pPr>
        <w:spacing w:line="480" w:lineRule="auto"/>
        <w:ind w:left="720" w:hanging="720"/>
      </w:pPr>
      <w:r>
        <w:t>A:</w:t>
      </w:r>
      <w:r>
        <w:tab/>
      </w:r>
      <w:r w:rsidR="00E93316">
        <w:t>Ye</w:t>
      </w:r>
      <w:r w:rsidR="0095715D">
        <w:t xml:space="preserve">s.  The </w:t>
      </w:r>
      <w:r w:rsidR="00F9372B">
        <w:t xml:space="preserve">negative </w:t>
      </w:r>
      <w:r w:rsidR="0095715D">
        <w:t>reputation of some S</w:t>
      </w:r>
      <w:r w:rsidR="00E93316">
        <w:t xml:space="preserve">uppliers could tend to sour consumers on the idea of competitive generation supply.  Cleaning up existing abuses would make </w:t>
      </w:r>
      <w:r w:rsidR="00BA7E4C">
        <w:t>consumers</w:t>
      </w:r>
      <w:r w:rsidR="00554F6C">
        <w:t xml:space="preserve"> </w:t>
      </w:r>
      <w:r w:rsidR="00BA7E4C">
        <w:t xml:space="preserve">better off, </w:t>
      </w:r>
      <w:r w:rsidR="00D557B6">
        <w:t>and</w:t>
      </w:r>
      <w:r w:rsidR="00BA7E4C">
        <w:t xml:space="preserve"> </w:t>
      </w:r>
      <w:r w:rsidR="00E93316">
        <w:t xml:space="preserve">it might also make the market as a whole more sustainable </w:t>
      </w:r>
      <w:r w:rsidR="00BA7E4C">
        <w:t>in the long-term.</w:t>
      </w:r>
    </w:p>
    <w:p w14:paraId="584E4A87" w14:textId="77777777" w:rsidR="007C13B1" w:rsidRDefault="00184EA7" w:rsidP="0009426F">
      <w:pPr>
        <w:spacing w:line="480" w:lineRule="auto"/>
        <w:ind w:left="720" w:hanging="720"/>
        <w:outlineLvl w:val="1"/>
      </w:pPr>
      <w:bookmarkStart w:id="30" w:name="_Toc382029119"/>
      <w:r>
        <w:rPr>
          <w:b/>
        </w:rPr>
        <w:t>Suppliers and Complaints</w:t>
      </w:r>
      <w:bookmarkEnd w:id="30"/>
    </w:p>
    <w:p w14:paraId="4E8E068B" w14:textId="77777777" w:rsidR="00184EA7" w:rsidRDefault="0095715D" w:rsidP="0085270D">
      <w:pPr>
        <w:spacing w:line="480" w:lineRule="auto"/>
        <w:ind w:left="720" w:hanging="720"/>
        <w:rPr>
          <w:b/>
        </w:rPr>
      </w:pPr>
      <w:r>
        <w:rPr>
          <w:b/>
        </w:rPr>
        <w:t>Q:</w:t>
      </w:r>
      <w:r>
        <w:rPr>
          <w:b/>
        </w:rPr>
        <w:tab/>
        <w:t>Did you tally complaints by S</w:t>
      </w:r>
      <w:r w:rsidR="00184EA7" w:rsidRPr="00184EA7">
        <w:rPr>
          <w:b/>
        </w:rPr>
        <w:t>upplier?</w:t>
      </w:r>
    </w:p>
    <w:p w14:paraId="399DD2BF" w14:textId="77777777" w:rsidR="00765673" w:rsidRDefault="00184EA7" w:rsidP="00765673">
      <w:pPr>
        <w:spacing w:line="480" w:lineRule="auto"/>
        <w:ind w:left="720" w:hanging="720"/>
      </w:pPr>
      <w:r>
        <w:t>A:</w:t>
      </w:r>
      <w:r>
        <w:tab/>
        <w:t xml:space="preserve">Yes.  Table </w:t>
      </w:r>
      <w:r w:rsidR="00170046">
        <w:t>1</w:t>
      </w:r>
      <w:r w:rsidR="00765673">
        <w:t xml:space="preserve"> </w:t>
      </w:r>
      <w:r>
        <w:t>below summarize</w:t>
      </w:r>
      <w:r w:rsidR="00E355E1">
        <w:t>s</w:t>
      </w:r>
      <w:r>
        <w:t xml:space="preserve"> the quantit</w:t>
      </w:r>
      <w:r w:rsidR="00D557B6">
        <w:t>ies</w:t>
      </w:r>
      <w:r>
        <w:t xml:space="preserve"> of ind</w:t>
      </w:r>
      <w:r w:rsidR="00765673">
        <w:t>ividual complaints by</w:t>
      </w:r>
      <w:r w:rsidR="00A93FF2">
        <w:t xml:space="preserve"> Supplier</w:t>
      </w:r>
      <w:r w:rsidR="00765673">
        <w:t xml:space="preserve">, </w:t>
      </w:r>
      <w:r w:rsidR="00E355E1">
        <w:t>ranked from the highest number of complaints to the lowest.</w:t>
      </w:r>
      <w:r w:rsidR="00DA2B6C">
        <w:rPr>
          <w:rStyle w:val="FootnoteReference"/>
        </w:rPr>
        <w:footnoteReference w:id="22"/>
      </w:r>
      <w:r w:rsidR="00A42D94">
        <w:t xml:space="preserve">  </w:t>
      </w:r>
    </w:p>
    <w:p w14:paraId="76AAB177" w14:textId="77777777" w:rsidR="00765673" w:rsidRDefault="00184EA7" w:rsidP="00AB728B">
      <w:pPr>
        <w:keepNext/>
        <w:keepLines/>
        <w:jc w:val="center"/>
        <w:rPr>
          <w:b/>
        </w:rPr>
      </w:pPr>
      <w:r>
        <w:rPr>
          <w:b/>
        </w:rPr>
        <w:t xml:space="preserve">Table </w:t>
      </w:r>
      <w:r w:rsidR="007F11F6">
        <w:rPr>
          <w:b/>
        </w:rPr>
        <w:t>1</w:t>
      </w:r>
    </w:p>
    <w:p w14:paraId="0D671865" w14:textId="77777777" w:rsidR="00930148" w:rsidRDefault="00184EA7" w:rsidP="00AB728B">
      <w:pPr>
        <w:keepNext/>
        <w:keepLines/>
        <w:jc w:val="center"/>
        <w:rPr>
          <w:b/>
        </w:rPr>
      </w:pPr>
      <w:r>
        <w:rPr>
          <w:b/>
        </w:rPr>
        <w:t>Consumer Complaints by Supplier</w:t>
      </w:r>
      <w:r w:rsidR="00752EE6">
        <w:rPr>
          <w:b/>
        </w:rPr>
        <w:t xml:space="preserve"> (</w:t>
      </w:r>
      <w:r w:rsidR="00B358E6">
        <w:rPr>
          <w:b/>
        </w:rPr>
        <w:t>ranked by quantity</w:t>
      </w:r>
      <w:r w:rsidR="00752EE6">
        <w:rPr>
          <w:b/>
        </w:rPr>
        <w:t>)</w:t>
      </w:r>
    </w:p>
    <w:tbl>
      <w:tblPr>
        <w:tblW w:w="5865" w:type="dxa"/>
        <w:jc w:val="center"/>
        <w:tblLook w:val="04A0" w:firstRow="1" w:lastRow="0" w:firstColumn="1" w:lastColumn="0" w:noHBand="0" w:noVBand="1"/>
      </w:tblPr>
      <w:tblGrid>
        <w:gridCol w:w="3560"/>
        <w:gridCol w:w="2305"/>
      </w:tblGrid>
      <w:tr w:rsidR="00930148" w:rsidRPr="00930148" w14:paraId="75E90E7C" w14:textId="77777777" w:rsidTr="00930148">
        <w:trPr>
          <w:trHeight w:val="288"/>
          <w:jc w:val="center"/>
        </w:trPr>
        <w:tc>
          <w:tcPr>
            <w:tcW w:w="3560" w:type="dxa"/>
            <w:tcBorders>
              <w:top w:val="single" w:sz="4" w:space="0" w:color="auto"/>
              <w:left w:val="single" w:sz="4" w:space="0" w:color="auto"/>
              <w:bottom w:val="single" w:sz="4" w:space="0" w:color="auto"/>
              <w:right w:val="nil"/>
            </w:tcBorders>
            <w:shd w:val="clear" w:color="auto" w:fill="auto"/>
            <w:noWrap/>
            <w:vAlign w:val="center"/>
            <w:hideMark/>
          </w:tcPr>
          <w:p w14:paraId="471F9F67" w14:textId="77777777" w:rsidR="00930148" w:rsidRPr="00930148" w:rsidRDefault="00930148" w:rsidP="00AB728B">
            <w:pPr>
              <w:keepNext/>
              <w:keepLines/>
              <w:widowControl/>
              <w:autoSpaceDE/>
              <w:autoSpaceDN/>
              <w:adjustRightInd/>
              <w:jc w:val="center"/>
              <w:rPr>
                <w:rFonts w:ascii="Calibri" w:hAnsi="Calibri"/>
                <w:b/>
                <w:bCs/>
                <w:color w:val="000000"/>
                <w:sz w:val="20"/>
                <w:szCs w:val="20"/>
              </w:rPr>
            </w:pPr>
            <w:r w:rsidRPr="00930148">
              <w:rPr>
                <w:rFonts w:ascii="Calibri" w:hAnsi="Calibri"/>
                <w:b/>
                <w:bCs/>
                <w:color w:val="000000"/>
                <w:sz w:val="20"/>
                <w:szCs w:val="20"/>
              </w:rPr>
              <w:t>Supplier</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14:paraId="2332FB8D" w14:textId="77777777" w:rsidR="00930148" w:rsidRPr="00930148" w:rsidRDefault="00930148" w:rsidP="00AB728B">
            <w:pPr>
              <w:keepNext/>
              <w:keepLines/>
              <w:widowControl/>
              <w:autoSpaceDE/>
              <w:autoSpaceDN/>
              <w:adjustRightInd/>
              <w:jc w:val="center"/>
              <w:rPr>
                <w:rFonts w:ascii="Calibri" w:hAnsi="Calibri"/>
                <w:b/>
                <w:bCs/>
                <w:color w:val="000000"/>
                <w:sz w:val="20"/>
                <w:szCs w:val="20"/>
              </w:rPr>
            </w:pPr>
            <w:r w:rsidRPr="00930148">
              <w:rPr>
                <w:rFonts w:ascii="Calibri" w:hAnsi="Calibri"/>
                <w:b/>
                <w:bCs/>
                <w:color w:val="000000"/>
                <w:sz w:val="20"/>
                <w:szCs w:val="20"/>
              </w:rPr>
              <w:t>Quantity of Complaints</w:t>
            </w:r>
          </w:p>
        </w:tc>
      </w:tr>
      <w:tr w:rsidR="00930148" w:rsidRPr="00930148" w14:paraId="7A1A0308"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08DDA91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Starion</w:t>
            </w:r>
          </w:p>
        </w:tc>
        <w:tc>
          <w:tcPr>
            <w:tcW w:w="2305" w:type="dxa"/>
            <w:tcBorders>
              <w:top w:val="nil"/>
              <w:left w:val="nil"/>
              <w:bottom w:val="nil"/>
              <w:right w:val="single" w:sz="4" w:space="0" w:color="auto"/>
            </w:tcBorders>
            <w:shd w:val="clear" w:color="auto" w:fill="auto"/>
            <w:noWrap/>
            <w:vAlign w:val="bottom"/>
            <w:hideMark/>
          </w:tcPr>
          <w:p w14:paraId="3AAC2BD3"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190</w:t>
            </w:r>
          </w:p>
        </w:tc>
      </w:tr>
      <w:tr w:rsidR="00930148" w:rsidRPr="00930148" w14:paraId="5B857993"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52F351C0"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Public Power &amp; Utility</w:t>
            </w:r>
          </w:p>
        </w:tc>
        <w:tc>
          <w:tcPr>
            <w:tcW w:w="2305" w:type="dxa"/>
            <w:tcBorders>
              <w:top w:val="nil"/>
              <w:left w:val="nil"/>
              <w:bottom w:val="nil"/>
              <w:right w:val="single" w:sz="4" w:space="0" w:color="auto"/>
            </w:tcBorders>
            <w:shd w:val="clear" w:color="auto" w:fill="auto"/>
            <w:noWrap/>
            <w:vAlign w:val="bottom"/>
            <w:hideMark/>
          </w:tcPr>
          <w:p w14:paraId="5B9418BA"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133</w:t>
            </w:r>
          </w:p>
        </w:tc>
      </w:tr>
      <w:tr w:rsidR="00930148" w:rsidRPr="00930148" w14:paraId="2D6BA0C1"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2A95ECB9"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North American Power &amp; Gas</w:t>
            </w:r>
          </w:p>
        </w:tc>
        <w:tc>
          <w:tcPr>
            <w:tcW w:w="2305" w:type="dxa"/>
            <w:tcBorders>
              <w:top w:val="nil"/>
              <w:left w:val="nil"/>
              <w:bottom w:val="nil"/>
              <w:right w:val="single" w:sz="4" w:space="0" w:color="auto"/>
            </w:tcBorders>
            <w:shd w:val="clear" w:color="auto" w:fill="auto"/>
            <w:noWrap/>
            <w:vAlign w:val="bottom"/>
            <w:hideMark/>
          </w:tcPr>
          <w:p w14:paraId="54A73366"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79</w:t>
            </w:r>
          </w:p>
        </w:tc>
      </w:tr>
      <w:tr w:rsidR="00930148" w:rsidRPr="00930148" w14:paraId="07633C57"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1502D7A5"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Direct Energy</w:t>
            </w:r>
          </w:p>
        </w:tc>
        <w:tc>
          <w:tcPr>
            <w:tcW w:w="2305" w:type="dxa"/>
            <w:tcBorders>
              <w:top w:val="nil"/>
              <w:left w:val="nil"/>
              <w:bottom w:val="nil"/>
              <w:right w:val="single" w:sz="4" w:space="0" w:color="auto"/>
            </w:tcBorders>
            <w:shd w:val="clear" w:color="auto" w:fill="auto"/>
            <w:noWrap/>
            <w:vAlign w:val="bottom"/>
            <w:hideMark/>
          </w:tcPr>
          <w:p w14:paraId="29178C04"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77</w:t>
            </w:r>
          </w:p>
        </w:tc>
      </w:tr>
      <w:tr w:rsidR="00930148" w:rsidRPr="00930148" w14:paraId="2D761CC4"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050E82A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Clearview</w:t>
            </w:r>
          </w:p>
        </w:tc>
        <w:tc>
          <w:tcPr>
            <w:tcW w:w="2305" w:type="dxa"/>
            <w:tcBorders>
              <w:top w:val="nil"/>
              <w:left w:val="nil"/>
              <w:bottom w:val="nil"/>
              <w:right w:val="single" w:sz="4" w:space="0" w:color="auto"/>
            </w:tcBorders>
            <w:shd w:val="clear" w:color="auto" w:fill="auto"/>
            <w:noWrap/>
            <w:vAlign w:val="bottom"/>
            <w:hideMark/>
          </w:tcPr>
          <w:p w14:paraId="18B6876D"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41</w:t>
            </w:r>
          </w:p>
        </w:tc>
      </w:tr>
      <w:tr w:rsidR="00930148" w:rsidRPr="00930148" w14:paraId="6767CF7D" w14:textId="77777777" w:rsidTr="00930148">
        <w:trPr>
          <w:trHeight w:val="288"/>
          <w:jc w:val="center"/>
        </w:trPr>
        <w:tc>
          <w:tcPr>
            <w:tcW w:w="3560" w:type="dxa"/>
            <w:tcBorders>
              <w:top w:val="single" w:sz="4" w:space="0" w:color="auto"/>
              <w:left w:val="single" w:sz="4" w:space="0" w:color="auto"/>
              <w:bottom w:val="nil"/>
              <w:right w:val="nil"/>
            </w:tcBorders>
            <w:shd w:val="clear" w:color="auto" w:fill="auto"/>
            <w:noWrap/>
            <w:vAlign w:val="bottom"/>
            <w:hideMark/>
          </w:tcPr>
          <w:p w14:paraId="273A5F93"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Choice</w:t>
            </w:r>
          </w:p>
        </w:tc>
        <w:tc>
          <w:tcPr>
            <w:tcW w:w="2305" w:type="dxa"/>
            <w:tcBorders>
              <w:top w:val="single" w:sz="4" w:space="0" w:color="auto"/>
              <w:left w:val="nil"/>
              <w:bottom w:val="nil"/>
              <w:right w:val="single" w:sz="4" w:space="0" w:color="auto"/>
            </w:tcBorders>
            <w:shd w:val="clear" w:color="auto" w:fill="auto"/>
            <w:noWrap/>
            <w:vAlign w:val="bottom"/>
            <w:hideMark/>
          </w:tcPr>
          <w:p w14:paraId="0571521D"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34</w:t>
            </w:r>
          </w:p>
        </w:tc>
      </w:tr>
      <w:tr w:rsidR="00930148" w:rsidRPr="00930148" w14:paraId="63F08004"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148FEE0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Discount Power, Inc.</w:t>
            </w:r>
          </w:p>
        </w:tc>
        <w:tc>
          <w:tcPr>
            <w:tcW w:w="2305" w:type="dxa"/>
            <w:tcBorders>
              <w:top w:val="nil"/>
              <w:left w:val="nil"/>
              <w:bottom w:val="nil"/>
              <w:right w:val="single" w:sz="4" w:space="0" w:color="auto"/>
            </w:tcBorders>
            <w:shd w:val="clear" w:color="auto" w:fill="auto"/>
            <w:noWrap/>
            <w:vAlign w:val="bottom"/>
            <w:hideMark/>
          </w:tcPr>
          <w:p w14:paraId="70AACFBD"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29</w:t>
            </w:r>
          </w:p>
        </w:tc>
      </w:tr>
      <w:tr w:rsidR="00930148" w:rsidRPr="00930148" w14:paraId="50A17AFE"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1C6C0B1F"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Dominion</w:t>
            </w:r>
          </w:p>
        </w:tc>
        <w:tc>
          <w:tcPr>
            <w:tcW w:w="2305" w:type="dxa"/>
            <w:tcBorders>
              <w:top w:val="nil"/>
              <w:left w:val="nil"/>
              <w:bottom w:val="nil"/>
              <w:right w:val="single" w:sz="4" w:space="0" w:color="auto"/>
            </w:tcBorders>
            <w:shd w:val="clear" w:color="auto" w:fill="auto"/>
            <w:noWrap/>
            <w:vAlign w:val="bottom"/>
            <w:hideMark/>
          </w:tcPr>
          <w:p w14:paraId="77F36CCA"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29</w:t>
            </w:r>
          </w:p>
        </w:tc>
      </w:tr>
      <w:tr w:rsidR="00930148" w:rsidRPr="00930148" w14:paraId="393ECB94"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5DF8349E"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Viridian</w:t>
            </w:r>
          </w:p>
        </w:tc>
        <w:tc>
          <w:tcPr>
            <w:tcW w:w="2305" w:type="dxa"/>
            <w:tcBorders>
              <w:top w:val="nil"/>
              <w:left w:val="nil"/>
              <w:bottom w:val="nil"/>
              <w:right w:val="single" w:sz="4" w:space="0" w:color="auto"/>
            </w:tcBorders>
            <w:shd w:val="clear" w:color="auto" w:fill="auto"/>
            <w:noWrap/>
            <w:vAlign w:val="bottom"/>
            <w:hideMark/>
          </w:tcPr>
          <w:p w14:paraId="16078324"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28</w:t>
            </w:r>
          </w:p>
        </w:tc>
      </w:tr>
      <w:tr w:rsidR="00930148" w:rsidRPr="00930148" w14:paraId="1914C536"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3914BBE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Constellation</w:t>
            </w:r>
          </w:p>
        </w:tc>
        <w:tc>
          <w:tcPr>
            <w:tcW w:w="2305" w:type="dxa"/>
            <w:tcBorders>
              <w:top w:val="nil"/>
              <w:left w:val="nil"/>
              <w:bottom w:val="nil"/>
              <w:right w:val="single" w:sz="4" w:space="0" w:color="auto"/>
            </w:tcBorders>
            <w:shd w:val="clear" w:color="auto" w:fill="auto"/>
            <w:noWrap/>
            <w:vAlign w:val="bottom"/>
            <w:hideMark/>
          </w:tcPr>
          <w:p w14:paraId="6B78EC79"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27</w:t>
            </w:r>
          </w:p>
        </w:tc>
      </w:tr>
      <w:tr w:rsidR="00930148" w:rsidRPr="00930148" w14:paraId="3B391AA9" w14:textId="77777777" w:rsidTr="00930148">
        <w:trPr>
          <w:trHeight w:val="288"/>
          <w:jc w:val="center"/>
        </w:trPr>
        <w:tc>
          <w:tcPr>
            <w:tcW w:w="3560" w:type="dxa"/>
            <w:tcBorders>
              <w:top w:val="single" w:sz="4" w:space="0" w:color="auto"/>
              <w:left w:val="single" w:sz="4" w:space="0" w:color="auto"/>
              <w:bottom w:val="nil"/>
              <w:right w:val="nil"/>
            </w:tcBorders>
            <w:shd w:val="clear" w:color="auto" w:fill="auto"/>
            <w:noWrap/>
            <w:vAlign w:val="bottom"/>
            <w:hideMark/>
          </w:tcPr>
          <w:p w14:paraId="4CDE67C8"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CT Gas &amp; Electric</w:t>
            </w:r>
          </w:p>
        </w:tc>
        <w:tc>
          <w:tcPr>
            <w:tcW w:w="2305" w:type="dxa"/>
            <w:tcBorders>
              <w:top w:val="single" w:sz="4" w:space="0" w:color="auto"/>
              <w:left w:val="nil"/>
              <w:bottom w:val="nil"/>
              <w:right w:val="single" w:sz="4" w:space="0" w:color="auto"/>
            </w:tcBorders>
            <w:shd w:val="clear" w:color="auto" w:fill="auto"/>
            <w:noWrap/>
            <w:vAlign w:val="bottom"/>
            <w:hideMark/>
          </w:tcPr>
          <w:p w14:paraId="0B404238"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26</w:t>
            </w:r>
          </w:p>
        </w:tc>
      </w:tr>
      <w:tr w:rsidR="00930148" w:rsidRPr="00930148" w14:paraId="21799CA1"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18C0A7B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Palmco Power</w:t>
            </w:r>
          </w:p>
        </w:tc>
        <w:tc>
          <w:tcPr>
            <w:tcW w:w="2305" w:type="dxa"/>
            <w:tcBorders>
              <w:top w:val="nil"/>
              <w:left w:val="nil"/>
              <w:bottom w:val="nil"/>
              <w:right w:val="single" w:sz="4" w:space="0" w:color="auto"/>
            </w:tcBorders>
            <w:shd w:val="clear" w:color="auto" w:fill="auto"/>
            <w:noWrap/>
            <w:vAlign w:val="bottom"/>
            <w:hideMark/>
          </w:tcPr>
          <w:p w14:paraId="31EE63DB"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21</w:t>
            </w:r>
          </w:p>
        </w:tc>
      </w:tr>
      <w:tr w:rsidR="00930148" w:rsidRPr="00930148" w14:paraId="288AF7FB"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517A9EAF"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Liberty Power</w:t>
            </w:r>
          </w:p>
        </w:tc>
        <w:tc>
          <w:tcPr>
            <w:tcW w:w="2305" w:type="dxa"/>
            <w:tcBorders>
              <w:top w:val="nil"/>
              <w:left w:val="nil"/>
              <w:bottom w:val="nil"/>
              <w:right w:val="single" w:sz="4" w:space="0" w:color="auto"/>
            </w:tcBorders>
            <w:shd w:val="clear" w:color="auto" w:fill="auto"/>
            <w:noWrap/>
            <w:vAlign w:val="bottom"/>
            <w:hideMark/>
          </w:tcPr>
          <w:p w14:paraId="68268360"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19</w:t>
            </w:r>
          </w:p>
        </w:tc>
      </w:tr>
      <w:tr w:rsidR="00930148" w:rsidRPr="00930148" w14:paraId="6666F863"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7658268E"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Verde</w:t>
            </w:r>
          </w:p>
        </w:tc>
        <w:tc>
          <w:tcPr>
            <w:tcW w:w="2305" w:type="dxa"/>
            <w:tcBorders>
              <w:top w:val="nil"/>
              <w:left w:val="nil"/>
              <w:bottom w:val="nil"/>
              <w:right w:val="single" w:sz="4" w:space="0" w:color="auto"/>
            </w:tcBorders>
            <w:shd w:val="clear" w:color="auto" w:fill="auto"/>
            <w:noWrap/>
            <w:vAlign w:val="bottom"/>
            <w:hideMark/>
          </w:tcPr>
          <w:p w14:paraId="2ECC15A4"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19</w:t>
            </w:r>
          </w:p>
        </w:tc>
      </w:tr>
      <w:tr w:rsidR="00930148" w:rsidRPr="00930148" w14:paraId="76010013"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1753D691"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Energy Plus</w:t>
            </w:r>
          </w:p>
        </w:tc>
        <w:tc>
          <w:tcPr>
            <w:tcW w:w="2305" w:type="dxa"/>
            <w:tcBorders>
              <w:top w:val="nil"/>
              <w:left w:val="nil"/>
              <w:bottom w:val="nil"/>
              <w:right w:val="single" w:sz="4" w:space="0" w:color="auto"/>
            </w:tcBorders>
            <w:shd w:val="clear" w:color="auto" w:fill="auto"/>
            <w:noWrap/>
            <w:vAlign w:val="bottom"/>
            <w:hideMark/>
          </w:tcPr>
          <w:p w14:paraId="065B4209"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16</w:t>
            </w:r>
          </w:p>
        </w:tc>
      </w:tr>
      <w:tr w:rsidR="00930148" w:rsidRPr="00930148" w14:paraId="4F5F9328" w14:textId="77777777" w:rsidTr="00930148">
        <w:trPr>
          <w:trHeight w:val="288"/>
          <w:jc w:val="center"/>
        </w:trPr>
        <w:tc>
          <w:tcPr>
            <w:tcW w:w="3560" w:type="dxa"/>
            <w:tcBorders>
              <w:top w:val="single" w:sz="4" w:space="0" w:color="auto"/>
              <w:left w:val="single" w:sz="4" w:space="0" w:color="auto"/>
              <w:bottom w:val="nil"/>
              <w:right w:val="nil"/>
            </w:tcBorders>
            <w:shd w:val="clear" w:color="auto" w:fill="auto"/>
            <w:noWrap/>
            <w:vAlign w:val="bottom"/>
            <w:hideMark/>
          </w:tcPr>
          <w:p w14:paraId="1F6CCA92" w14:textId="77777777" w:rsidR="00930148" w:rsidRPr="00930148" w:rsidRDefault="00930148" w:rsidP="00AB728B">
            <w:pPr>
              <w:keepNext/>
              <w:keepLines/>
              <w:widowControl/>
              <w:autoSpaceDE/>
              <w:autoSpaceDN/>
              <w:adjustRightInd/>
              <w:rPr>
                <w:rFonts w:ascii="Calibri" w:hAnsi="Calibri"/>
                <w:sz w:val="20"/>
                <w:szCs w:val="20"/>
              </w:rPr>
            </w:pPr>
            <w:r w:rsidRPr="00930148">
              <w:rPr>
                <w:rFonts w:ascii="Calibri" w:hAnsi="Calibri"/>
                <w:sz w:val="20"/>
                <w:szCs w:val="20"/>
              </w:rPr>
              <w:t>Ambit Northeast, LLP</w:t>
            </w:r>
          </w:p>
        </w:tc>
        <w:tc>
          <w:tcPr>
            <w:tcW w:w="2305" w:type="dxa"/>
            <w:tcBorders>
              <w:top w:val="single" w:sz="4" w:space="0" w:color="auto"/>
              <w:left w:val="nil"/>
              <w:bottom w:val="nil"/>
              <w:right w:val="single" w:sz="4" w:space="0" w:color="auto"/>
            </w:tcBorders>
            <w:shd w:val="clear" w:color="auto" w:fill="auto"/>
            <w:noWrap/>
            <w:vAlign w:val="bottom"/>
            <w:hideMark/>
          </w:tcPr>
          <w:p w14:paraId="2BA40BA5"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6</w:t>
            </w:r>
          </w:p>
        </w:tc>
      </w:tr>
      <w:tr w:rsidR="00930148" w:rsidRPr="00930148" w14:paraId="790CEA84"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209D33AF"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HOP Energy LLC</w:t>
            </w:r>
          </w:p>
        </w:tc>
        <w:tc>
          <w:tcPr>
            <w:tcW w:w="2305" w:type="dxa"/>
            <w:tcBorders>
              <w:top w:val="nil"/>
              <w:left w:val="nil"/>
              <w:bottom w:val="nil"/>
              <w:right w:val="single" w:sz="4" w:space="0" w:color="auto"/>
            </w:tcBorders>
            <w:shd w:val="clear" w:color="auto" w:fill="auto"/>
            <w:noWrap/>
            <w:vAlign w:val="bottom"/>
            <w:hideMark/>
          </w:tcPr>
          <w:p w14:paraId="49D4855C"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6</w:t>
            </w:r>
          </w:p>
        </w:tc>
      </w:tr>
      <w:tr w:rsidR="00930148" w:rsidRPr="00930148" w14:paraId="1CBA9EA0"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7F8DD0D2"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Perigree</w:t>
            </w:r>
          </w:p>
        </w:tc>
        <w:tc>
          <w:tcPr>
            <w:tcW w:w="2305" w:type="dxa"/>
            <w:tcBorders>
              <w:top w:val="nil"/>
              <w:left w:val="nil"/>
              <w:bottom w:val="nil"/>
              <w:right w:val="single" w:sz="4" w:space="0" w:color="auto"/>
            </w:tcBorders>
            <w:shd w:val="clear" w:color="auto" w:fill="auto"/>
            <w:noWrap/>
            <w:vAlign w:val="bottom"/>
            <w:hideMark/>
          </w:tcPr>
          <w:p w14:paraId="7E9106B1"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6</w:t>
            </w:r>
          </w:p>
        </w:tc>
      </w:tr>
      <w:tr w:rsidR="00930148" w:rsidRPr="00930148" w14:paraId="406578CE"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3E643060"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Community</w:t>
            </w:r>
          </w:p>
        </w:tc>
        <w:tc>
          <w:tcPr>
            <w:tcW w:w="2305" w:type="dxa"/>
            <w:tcBorders>
              <w:top w:val="nil"/>
              <w:left w:val="nil"/>
              <w:bottom w:val="nil"/>
              <w:right w:val="single" w:sz="4" w:space="0" w:color="auto"/>
            </w:tcBorders>
            <w:shd w:val="clear" w:color="auto" w:fill="auto"/>
            <w:noWrap/>
            <w:vAlign w:val="bottom"/>
            <w:hideMark/>
          </w:tcPr>
          <w:p w14:paraId="24A09AF5"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5</w:t>
            </w:r>
          </w:p>
        </w:tc>
      </w:tr>
      <w:tr w:rsidR="00930148" w:rsidRPr="00930148" w14:paraId="24778EA6"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0FD83B79"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Con Edison Solutions</w:t>
            </w:r>
          </w:p>
        </w:tc>
        <w:tc>
          <w:tcPr>
            <w:tcW w:w="2305" w:type="dxa"/>
            <w:tcBorders>
              <w:top w:val="nil"/>
              <w:left w:val="nil"/>
              <w:bottom w:val="nil"/>
              <w:right w:val="single" w:sz="4" w:space="0" w:color="auto"/>
            </w:tcBorders>
            <w:shd w:val="clear" w:color="auto" w:fill="auto"/>
            <w:noWrap/>
            <w:vAlign w:val="bottom"/>
            <w:hideMark/>
          </w:tcPr>
          <w:p w14:paraId="756E531E"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4</w:t>
            </w:r>
          </w:p>
        </w:tc>
      </w:tr>
      <w:tr w:rsidR="00930148" w:rsidRPr="00930148" w14:paraId="79F48E6C" w14:textId="77777777" w:rsidTr="00930148">
        <w:trPr>
          <w:trHeight w:val="288"/>
          <w:jc w:val="center"/>
        </w:trPr>
        <w:tc>
          <w:tcPr>
            <w:tcW w:w="3560" w:type="dxa"/>
            <w:tcBorders>
              <w:top w:val="single" w:sz="4" w:space="0" w:color="auto"/>
              <w:left w:val="single" w:sz="4" w:space="0" w:color="auto"/>
              <w:bottom w:val="nil"/>
              <w:right w:val="nil"/>
            </w:tcBorders>
            <w:shd w:val="clear" w:color="auto" w:fill="auto"/>
            <w:noWrap/>
            <w:vAlign w:val="bottom"/>
            <w:hideMark/>
          </w:tcPr>
          <w:p w14:paraId="19A84DC0"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XOOM Energy</w:t>
            </w:r>
          </w:p>
        </w:tc>
        <w:tc>
          <w:tcPr>
            <w:tcW w:w="2305" w:type="dxa"/>
            <w:tcBorders>
              <w:top w:val="single" w:sz="4" w:space="0" w:color="auto"/>
              <w:left w:val="nil"/>
              <w:bottom w:val="nil"/>
              <w:right w:val="single" w:sz="4" w:space="0" w:color="auto"/>
            </w:tcBorders>
            <w:shd w:val="clear" w:color="auto" w:fill="auto"/>
            <w:noWrap/>
            <w:vAlign w:val="bottom"/>
            <w:hideMark/>
          </w:tcPr>
          <w:p w14:paraId="68BB7140"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4</w:t>
            </w:r>
          </w:p>
        </w:tc>
      </w:tr>
      <w:tr w:rsidR="00930148" w:rsidRPr="00930148" w14:paraId="0A66F642"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3608ADD6"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Town Square Energy</w:t>
            </w:r>
          </w:p>
        </w:tc>
        <w:tc>
          <w:tcPr>
            <w:tcW w:w="2305" w:type="dxa"/>
            <w:tcBorders>
              <w:top w:val="nil"/>
              <w:left w:val="nil"/>
              <w:bottom w:val="nil"/>
              <w:right w:val="single" w:sz="4" w:space="0" w:color="auto"/>
            </w:tcBorders>
            <w:shd w:val="clear" w:color="auto" w:fill="auto"/>
            <w:noWrap/>
            <w:vAlign w:val="bottom"/>
            <w:hideMark/>
          </w:tcPr>
          <w:p w14:paraId="0601B41A"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3</w:t>
            </w:r>
          </w:p>
        </w:tc>
      </w:tr>
      <w:tr w:rsidR="00930148" w:rsidRPr="00930148" w14:paraId="60C4AA29"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2B01E6EB"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HIKO Energy LLC</w:t>
            </w:r>
          </w:p>
        </w:tc>
        <w:tc>
          <w:tcPr>
            <w:tcW w:w="2305" w:type="dxa"/>
            <w:tcBorders>
              <w:top w:val="nil"/>
              <w:left w:val="nil"/>
              <w:bottom w:val="nil"/>
              <w:right w:val="single" w:sz="4" w:space="0" w:color="auto"/>
            </w:tcBorders>
            <w:shd w:val="clear" w:color="auto" w:fill="auto"/>
            <w:noWrap/>
            <w:vAlign w:val="bottom"/>
            <w:hideMark/>
          </w:tcPr>
          <w:p w14:paraId="03048DE8"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w:t>
            </w:r>
          </w:p>
        </w:tc>
      </w:tr>
      <w:tr w:rsidR="00930148" w:rsidRPr="00930148" w14:paraId="0D3925D9"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73C0DF87"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Next ERA</w:t>
            </w:r>
          </w:p>
        </w:tc>
        <w:tc>
          <w:tcPr>
            <w:tcW w:w="2305" w:type="dxa"/>
            <w:tcBorders>
              <w:top w:val="nil"/>
              <w:left w:val="nil"/>
              <w:bottom w:val="nil"/>
              <w:right w:val="single" w:sz="4" w:space="0" w:color="auto"/>
            </w:tcBorders>
            <w:shd w:val="clear" w:color="auto" w:fill="auto"/>
            <w:noWrap/>
            <w:vAlign w:val="bottom"/>
            <w:hideMark/>
          </w:tcPr>
          <w:p w14:paraId="494C3FD2"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w:t>
            </w:r>
          </w:p>
        </w:tc>
      </w:tr>
      <w:tr w:rsidR="00930148" w:rsidRPr="00930148" w14:paraId="7F3023E0"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646D9F0A"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Other</w:t>
            </w:r>
          </w:p>
        </w:tc>
        <w:tc>
          <w:tcPr>
            <w:tcW w:w="2305" w:type="dxa"/>
            <w:tcBorders>
              <w:top w:val="nil"/>
              <w:left w:val="nil"/>
              <w:bottom w:val="nil"/>
              <w:right w:val="single" w:sz="4" w:space="0" w:color="auto"/>
            </w:tcBorders>
            <w:shd w:val="clear" w:color="auto" w:fill="auto"/>
            <w:noWrap/>
            <w:vAlign w:val="bottom"/>
            <w:hideMark/>
          </w:tcPr>
          <w:p w14:paraId="5C7B3F16"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w:t>
            </w:r>
          </w:p>
        </w:tc>
      </w:tr>
      <w:tr w:rsidR="00930148" w:rsidRPr="00930148" w14:paraId="4332C8E8" w14:textId="77777777" w:rsidTr="00930148">
        <w:trPr>
          <w:trHeight w:val="288"/>
          <w:jc w:val="center"/>
        </w:trPr>
        <w:tc>
          <w:tcPr>
            <w:tcW w:w="3560" w:type="dxa"/>
            <w:tcBorders>
              <w:top w:val="single" w:sz="4" w:space="0" w:color="auto"/>
              <w:left w:val="single" w:sz="4" w:space="0" w:color="auto"/>
              <w:bottom w:val="nil"/>
              <w:right w:val="nil"/>
            </w:tcBorders>
            <w:shd w:val="clear" w:color="auto" w:fill="auto"/>
            <w:noWrap/>
            <w:vAlign w:val="bottom"/>
            <w:hideMark/>
          </w:tcPr>
          <w:p w14:paraId="74DD565C"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Spark</w:t>
            </w:r>
          </w:p>
        </w:tc>
        <w:tc>
          <w:tcPr>
            <w:tcW w:w="2305" w:type="dxa"/>
            <w:tcBorders>
              <w:top w:val="single" w:sz="4" w:space="0" w:color="auto"/>
              <w:left w:val="nil"/>
              <w:bottom w:val="nil"/>
              <w:right w:val="single" w:sz="4" w:space="0" w:color="auto"/>
            </w:tcBorders>
            <w:shd w:val="clear" w:color="auto" w:fill="auto"/>
            <w:noWrap/>
            <w:vAlign w:val="bottom"/>
            <w:hideMark/>
          </w:tcPr>
          <w:p w14:paraId="6A470FB7"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w:t>
            </w:r>
          </w:p>
        </w:tc>
      </w:tr>
      <w:tr w:rsidR="00930148" w:rsidRPr="00930148" w14:paraId="0B8A1461"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0E523591"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United Energy Partners</w:t>
            </w:r>
          </w:p>
        </w:tc>
        <w:tc>
          <w:tcPr>
            <w:tcW w:w="2305" w:type="dxa"/>
            <w:tcBorders>
              <w:top w:val="nil"/>
              <w:left w:val="nil"/>
              <w:bottom w:val="nil"/>
              <w:right w:val="single" w:sz="4" w:space="0" w:color="auto"/>
            </w:tcBorders>
            <w:shd w:val="clear" w:color="auto" w:fill="auto"/>
            <w:noWrap/>
            <w:vAlign w:val="bottom"/>
            <w:hideMark/>
          </w:tcPr>
          <w:p w14:paraId="02DDA185"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2</w:t>
            </w:r>
          </w:p>
        </w:tc>
      </w:tr>
      <w:tr w:rsidR="00930148" w:rsidRPr="00930148" w14:paraId="1641FDAB"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4B3C9565"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Aequitas</w:t>
            </w:r>
          </w:p>
        </w:tc>
        <w:tc>
          <w:tcPr>
            <w:tcW w:w="2305" w:type="dxa"/>
            <w:tcBorders>
              <w:top w:val="nil"/>
              <w:left w:val="nil"/>
              <w:bottom w:val="nil"/>
              <w:right w:val="single" w:sz="4" w:space="0" w:color="auto"/>
            </w:tcBorders>
            <w:shd w:val="clear" w:color="auto" w:fill="auto"/>
            <w:noWrap/>
            <w:vAlign w:val="bottom"/>
            <w:hideMark/>
          </w:tcPr>
          <w:p w14:paraId="6E3C3173"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w:t>
            </w:r>
          </w:p>
        </w:tc>
      </w:tr>
      <w:tr w:rsidR="00930148" w:rsidRPr="00930148" w14:paraId="1559320A"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7CAD4A61"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Energy Choice LLC</w:t>
            </w:r>
          </w:p>
        </w:tc>
        <w:tc>
          <w:tcPr>
            <w:tcW w:w="2305" w:type="dxa"/>
            <w:tcBorders>
              <w:top w:val="nil"/>
              <w:left w:val="nil"/>
              <w:bottom w:val="nil"/>
              <w:right w:val="single" w:sz="4" w:space="0" w:color="auto"/>
            </w:tcBorders>
            <w:shd w:val="clear" w:color="auto" w:fill="auto"/>
            <w:noWrap/>
            <w:vAlign w:val="bottom"/>
            <w:hideMark/>
          </w:tcPr>
          <w:p w14:paraId="1F0B7376"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w:t>
            </w:r>
          </w:p>
        </w:tc>
      </w:tr>
      <w:tr w:rsidR="00930148" w:rsidRPr="00930148" w14:paraId="1B5421D8"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19E157A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Energy New England</w:t>
            </w:r>
          </w:p>
        </w:tc>
        <w:tc>
          <w:tcPr>
            <w:tcW w:w="2305" w:type="dxa"/>
            <w:tcBorders>
              <w:top w:val="nil"/>
              <w:left w:val="nil"/>
              <w:bottom w:val="nil"/>
              <w:right w:val="single" w:sz="4" w:space="0" w:color="auto"/>
            </w:tcBorders>
            <w:shd w:val="clear" w:color="auto" w:fill="auto"/>
            <w:noWrap/>
            <w:vAlign w:val="bottom"/>
            <w:hideMark/>
          </w:tcPr>
          <w:p w14:paraId="74EBF648"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w:t>
            </w:r>
          </w:p>
        </w:tc>
      </w:tr>
      <w:tr w:rsidR="00930148" w:rsidRPr="00930148" w14:paraId="133EA3C2" w14:textId="77777777" w:rsidTr="00930148">
        <w:trPr>
          <w:trHeight w:val="288"/>
          <w:jc w:val="center"/>
        </w:trPr>
        <w:tc>
          <w:tcPr>
            <w:tcW w:w="3560" w:type="dxa"/>
            <w:tcBorders>
              <w:top w:val="single" w:sz="4" w:space="0" w:color="auto"/>
              <w:left w:val="single" w:sz="4" w:space="0" w:color="auto"/>
              <w:bottom w:val="nil"/>
              <w:right w:val="nil"/>
            </w:tcBorders>
            <w:shd w:val="clear" w:color="auto" w:fill="auto"/>
            <w:noWrap/>
            <w:vAlign w:val="bottom"/>
            <w:hideMark/>
          </w:tcPr>
          <w:p w14:paraId="05A30E59"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Independence Energy Group</w:t>
            </w:r>
          </w:p>
        </w:tc>
        <w:tc>
          <w:tcPr>
            <w:tcW w:w="2305" w:type="dxa"/>
            <w:tcBorders>
              <w:top w:val="single" w:sz="4" w:space="0" w:color="auto"/>
              <w:left w:val="nil"/>
              <w:bottom w:val="nil"/>
              <w:right w:val="single" w:sz="4" w:space="0" w:color="auto"/>
            </w:tcBorders>
            <w:shd w:val="clear" w:color="auto" w:fill="auto"/>
            <w:noWrap/>
            <w:vAlign w:val="bottom"/>
            <w:hideMark/>
          </w:tcPr>
          <w:p w14:paraId="5B6A2C9F"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w:t>
            </w:r>
          </w:p>
        </w:tc>
      </w:tr>
      <w:tr w:rsidR="00930148" w:rsidRPr="00930148" w14:paraId="2B946BCB"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651D14B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Patriot</w:t>
            </w:r>
          </w:p>
        </w:tc>
        <w:tc>
          <w:tcPr>
            <w:tcW w:w="2305" w:type="dxa"/>
            <w:tcBorders>
              <w:top w:val="nil"/>
              <w:left w:val="nil"/>
              <w:bottom w:val="nil"/>
              <w:right w:val="single" w:sz="4" w:space="0" w:color="auto"/>
            </w:tcBorders>
            <w:shd w:val="clear" w:color="auto" w:fill="auto"/>
            <w:noWrap/>
            <w:vAlign w:val="bottom"/>
            <w:hideMark/>
          </w:tcPr>
          <w:p w14:paraId="27B02551"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w:t>
            </w:r>
          </w:p>
        </w:tc>
      </w:tr>
      <w:tr w:rsidR="00930148" w:rsidRPr="00930148" w14:paraId="4B6E2C3D" w14:textId="77777777" w:rsidTr="00930148">
        <w:trPr>
          <w:trHeight w:val="288"/>
          <w:jc w:val="center"/>
        </w:trPr>
        <w:tc>
          <w:tcPr>
            <w:tcW w:w="3560" w:type="dxa"/>
            <w:tcBorders>
              <w:top w:val="nil"/>
              <w:left w:val="single" w:sz="4" w:space="0" w:color="auto"/>
              <w:bottom w:val="nil"/>
              <w:right w:val="nil"/>
            </w:tcBorders>
            <w:shd w:val="clear" w:color="auto" w:fill="auto"/>
            <w:noWrap/>
            <w:vAlign w:val="bottom"/>
            <w:hideMark/>
          </w:tcPr>
          <w:p w14:paraId="77F81CA4" w14:textId="77777777" w:rsidR="00930148" w:rsidRPr="00930148" w:rsidRDefault="00930148" w:rsidP="00AB728B">
            <w:pPr>
              <w:keepNext/>
              <w:keepLines/>
              <w:widowControl/>
              <w:autoSpaceDE/>
              <w:autoSpaceDN/>
              <w:adjustRightInd/>
              <w:rPr>
                <w:rFonts w:ascii="Calibri" w:hAnsi="Calibri"/>
                <w:color w:val="000000"/>
                <w:sz w:val="20"/>
                <w:szCs w:val="20"/>
              </w:rPr>
            </w:pPr>
            <w:r w:rsidRPr="00930148">
              <w:rPr>
                <w:rFonts w:ascii="Calibri" w:hAnsi="Calibri"/>
                <w:color w:val="000000"/>
                <w:sz w:val="20"/>
                <w:szCs w:val="20"/>
              </w:rPr>
              <w:t>So. Connecticut Gas</w:t>
            </w:r>
          </w:p>
        </w:tc>
        <w:tc>
          <w:tcPr>
            <w:tcW w:w="2305" w:type="dxa"/>
            <w:tcBorders>
              <w:top w:val="nil"/>
              <w:left w:val="nil"/>
              <w:bottom w:val="nil"/>
              <w:right w:val="single" w:sz="4" w:space="0" w:color="auto"/>
            </w:tcBorders>
            <w:shd w:val="clear" w:color="auto" w:fill="auto"/>
            <w:noWrap/>
            <w:vAlign w:val="bottom"/>
            <w:hideMark/>
          </w:tcPr>
          <w:p w14:paraId="046FADE0"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1</w:t>
            </w:r>
          </w:p>
        </w:tc>
      </w:tr>
      <w:tr w:rsidR="00930148" w:rsidRPr="00930148" w14:paraId="229047CB" w14:textId="77777777" w:rsidTr="00AB728B">
        <w:trPr>
          <w:trHeight w:val="333"/>
          <w:jc w:val="center"/>
        </w:trPr>
        <w:tc>
          <w:tcPr>
            <w:tcW w:w="3560" w:type="dxa"/>
            <w:tcBorders>
              <w:top w:val="nil"/>
              <w:left w:val="single" w:sz="4" w:space="0" w:color="auto"/>
              <w:bottom w:val="single" w:sz="4" w:space="0" w:color="auto"/>
              <w:right w:val="nil"/>
            </w:tcBorders>
            <w:shd w:val="clear" w:color="auto" w:fill="auto"/>
            <w:noWrap/>
            <w:vAlign w:val="bottom"/>
            <w:hideMark/>
          </w:tcPr>
          <w:p w14:paraId="5CA3ED09" w14:textId="77777777" w:rsidR="00930148" w:rsidRPr="00930148" w:rsidRDefault="00930148" w:rsidP="00AB728B">
            <w:pPr>
              <w:keepNext/>
              <w:keepLines/>
              <w:widowControl/>
              <w:autoSpaceDE/>
              <w:autoSpaceDN/>
              <w:adjustRightInd/>
              <w:rPr>
                <w:rFonts w:ascii="Calibri" w:hAnsi="Calibri"/>
                <w:b/>
                <w:bCs/>
                <w:color w:val="000000"/>
                <w:sz w:val="20"/>
                <w:szCs w:val="20"/>
              </w:rPr>
            </w:pPr>
            <w:r w:rsidRPr="00930148">
              <w:rPr>
                <w:rFonts w:ascii="Calibri" w:hAnsi="Calibri"/>
                <w:b/>
                <w:bCs/>
                <w:color w:val="000000"/>
                <w:sz w:val="20"/>
                <w:szCs w:val="20"/>
              </w:rPr>
              <w:t>TOTAL</w:t>
            </w:r>
          </w:p>
        </w:tc>
        <w:tc>
          <w:tcPr>
            <w:tcW w:w="2305" w:type="dxa"/>
            <w:tcBorders>
              <w:top w:val="nil"/>
              <w:left w:val="nil"/>
              <w:bottom w:val="single" w:sz="4" w:space="0" w:color="auto"/>
              <w:right w:val="single" w:sz="4" w:space="0" w:color="auto"/>
            </w:tcBorders>
            <w:shd w:val="clear" w:color="auto" w:fill="auto"/>
            <w:noWrap/>
            <w:vAlign w:val="bottom"/>
            <w:hideMark/>
          </w:tcPr>
          <w:p w14:paraId="17C95A0C" w14:textId="77777777" w:rsidR="00930148" w:rsidRPr="00930148" w:rsidRDefault="00930148" w:rsidP="00AB728B">
            <w:pPr>
              <w:keepNext/>
              <w:keepLines/>
              <w:widowControl/>
              <w:autoSpaceDE/>
              <w:autoSpaceDN/>
              <w:adjustRightInd/>
              <w:jc w:val="right"/>
              <w:rPr>
                <w:rFonts w:ascii="Calibri" w:hAnsi="Calibri"/>
                <w:color w:val="000000"/>
                <w:sz w:val="20"/>
                <w:szCs w:val="20"/>
              </w:rPr>
            </w:pPr>
            <w:r w:rsidRPr="00930148">
              <w:rPr>
                <w:rFonts w:ascii="Calibri" w:hAnsi="Calibri"/>
                <w:color w:val="000000"/>
                <w:sz w:val="20"/>
                <w:szCs w:val="20"/>
              </w:rPr>
              <w:t>818</w:t>
            </w:r>
          </w:p>
        </w:tc>
      </w:tr>
    </w:tbl>
    <w:p w14:paraId="141EEA86" w14:textId="77777777" w:rsidR="00930148" w:rsidRDefault="00930148" w:rsidP="00AB728B">
      <w:pPr>
        <w:ind w:left="720" w:hanging="720"/>
        <w:rPr>
          <w:b/>
        </w:rPr>
      </w:pPr>
    </w:p>
    <w:p w14:paraId="0117DDDE" w14:textId="77777777" w:rsidR="00334863" w:rsidRDefault="00334863" w:rsidP="00AB728B">
      <w:pPr>
        <w:spacing w:line="480" w:lineRule="auto"/>
        <w:ind w:left="720" w:hanging="720"/>
        <w:rPr>
          <w:b/>
        </w:rPr>
      </w:pPr>
      <w:r>
        <w:rPr>
          <w:b/>
        </w:rPr>
        <w:t>Q:</w:t>
      </w:r>
      <w:r>
        <w:rPr>
          <w:b/>
        </w:rPr>
        <w:tab/>
      </w:r>
      <w:r w:rsidR="006316A1">
        <w:rPr>
          <w:b/>
        </w:rPr>
        <w:t xml:space="preserve">Table 1 </w:t>
      </w:r>
      <w:r w:rsidR="0035227B">
        <w:rPr>
          <w:b/>
        </w:rPr>
        <w:t>summarize</w:t>
      </w:r>
      <w:r w:rsidR="006316A1">
        <w:rPr>
          <w:b/>
        </w:rPr>
        <w:t>s the</w:t>
      </w:r>
      <w:r w:rsidR="0035227B">
        <w:rPr>
          <w:b/>
        </w:rPr>
        <w:t xml:space="preserve"> absolute quantit</w:t>
      </w:r>
      <w:r w:rsidR="006316A1">
        <w:rPr>
          <w:b/>
        </w:rPr>
        <w:t>y</w:t>
      </w:r>
      <w:r w:rsidR="0035227B">
        <w:rPr>
          <w:b/>
        </w:rPr>
        <w:t xml:space="preserve"> of complaints by</w:t>
      </w:r>
      <w:r w:rsidR="00A93FF2">
        <w:rPr>
          <w:b/>
        </w:rPr>
        <w:t xml:space="preserve"> Supplier</w:t>
      </w:r>
      <w:r w:rsidR="0035227B">
        <w:rPr>
          <w:b/>
        </w:rPr>
        <w:t xml:space="preserve">.  </w:t>
      </w:r>
      <w:r>
        <w:rPr>
          <w:b/>
        </w:rPr>
        <w:t>In your analysis of complaints about</w:t>
      </w:r>
      <w:r w:rsidR="00A93FF2">
        <w:rPr>
          <w:b/>
        </w:rPr>
        <w:t xml:space="preserve"> Supplier</w:t>
      </w:r>
      <w:r>
        <w:rPr>
          <w:b/>
        </w:rPr>
        <w:t>s, did you take into account the varying quantities of customers that</w:t>
      </w:r>
      <w:r w:rsidR="00A93FF2">
        <w:rPr>
          <w:b/>
        </w:rPr>
        <w:t xml:space="preserve"> Supplier</w:t>
      </w:r>
      <w:r>
        <w:rPr>
          <w:b/>
        </w:rPr>
        <w:t>s serve?</w:t>
      </w:r>
    </w:p>
    <w:p w14:paraId="0BA73032" w14:textId="77777777" w:rsidR="00DE5814" w:rsidRDefault="00334863" w:rsidP="00334863">
      <w:pPr>
        <w:spacing w:line="480" w:lineRule="auto"/>
        <w:ind w:left="720" w:hanging="720"/>
      </w:pPr>
      <w:r>
        <w:t>A:</w:t>
      </w:r>
      <w:r>
        <w:tab/>
        <w:t xml:space="preserve">Yes. </w:t>
      </w:r>
      <w:r w:rsidR="005A5B64">
        <w:t xml:space="preserve"> </w:t>
      </w:r>
      <w:r>
        <w:t xml:space="preserve">Table </w:t>
      </w:r>
      <w:r w:rsidR="007F11F6">
        <w:t>2</w:t>
      </w:r>
      <w:r>
        <w:t xml:space="preserve"> below</w:t>
      </w:r>
      <w:r w:rsidR="0035227B">
        <w:t xml:space="preserve"> ranks the</w:t>
      </w:r>
      <w:r w:rsidR="00A93FF2">
        <w:t xml:space="preserve"> Supplier</w:t>
      </w:r>
      <w:r w:rsidR="0035227B">
        <w:t>s based on the ratio of the complaints associated with them to the total quantit</w:t>
      </w:r>
      <w:r w:rsidR="00D557B6">
        <w:t>ies</w:t>
      </w:r>
      <w:r w:rsidR="0035227B">
        <w:t xml:space="preserve"> of customers they serve.</w:t>
      </w:r>
      <w:r w:rsidR="005E7E01">
        <w:rPr>
          <w:rStyle w:val="FootnoteReference"/>
        </w:rPr>
        <w:footnoteReference w:id="23"/>
      </w:r>
      <w:r w:rsidR="0035227B">
        <w:t xml:space="preserve">  </w:t>
      </w:r>
    </w:p>
    <w:p w14:paraId="27F09787" w14:textId="77777777" w:rsidR="00A42D94" w:rsidRDefault="00DE5814" w:rsidP="00837A3E">
      <w:pPr>
        <w:keepNext/>
        <w:keepLines/>
        <w:jc w:val="center"/>
        <w:rPr>
          <w:b/>
        </w:rPr>
      </w:pPr>
      <w:r>
        <w:br w:type="page"/>
      </w:r>
      <w:r w:rsidR="0035227B">
        <w:rPr>
          <w:b/>
        </w:rPr>
        <w:t xml:space="preserve"> Table </w:t>
      </w:r>
      <w:r w:rsidR="007F11F6">
        <w:rPr>
          <w:b/>
        </w:rPr>
        <w:t>2</w:t>
      </w:r>
    </w:p>
    <w:p w14:paraId="53F1DF36" w14:textId="77777777" w:rsidR="0035227B" w:rsidRDefault="0035227B" w:rsidP="00837A3E">
      <w:pPr>
        <w:keepNext/>
        <w:keepLines/>
        <w:jc w:val="center"/>
        <w:rPr>
          <w:b/>
        </w:rPr>
      </w:pPr>
      <w:r>
        <w:rPr>
          <w:b/>
        </w:rPr>
        <w:t>Suppliers Ranked by Complaints as Percent of Total Customers</w:t>
      </w:r>
    </w:p>
    <w:p w14:paraId="010CEF8D" w14:textId="77777777" w:rsidR="007035BA" w:rsidRDefault="007035BA" w:rsidP="00837A3E">
      <w:pPr>
        <w:keepNext/>
        <w:keepLines/>
        <w:ind w:left="720" w:hanging="720"/>
        <w:rPr>
          <w:b/>
        </w:rPr>
      </w:pPr>
    </w:p>
    <w:tbl>
      <w:tblPr>
        <w:tblW w:w="10199" w:type="dxa"/>
        <w:jc w:val="center"/>
        <w:tblLook w:val="04A0" w:firstRow="1" w:lastRow="0" w:firstColumn="1" w:lastColumn="0" w:noHBand="0" w:noVBand="1"/>
      </w:tblPr>
      <w:tblGrid>
        <w:gridCol w:w="3260"/>
        <w:gridCol w:w="1160"/>
        <w:gridCol w:w="1206"/>
        <w:gridCol w:w="1360"/>
        <w:gridCol w:w="1508"/>
        <w:gridCol w:w="1705"/>
      </w:tblGrid>
      <w:tr w:rsidR="007035BA" w:rsidRPr="007035BA" w14:paraId="2B03FA6C" w14:textId="77777777" w:rsidTr="00837A3E">
        <w:trPr>
          <w:trHeight w:val="1096"/>
          <w:jc w:val="center"/>
        </w:trPr>
        <w:tc>
          <w:tcPr>
            <w:tcW w:w="3260" w:type="dxa"/>
            <w:tcBorders>
              <w:top w:val="single" w:sz="8" w:space="0" w:color="auto"/>
              <w:left w:val="single" w:sz="8" w:space="0" w:color="auto"/>
              <w:bottom w:val="single" w:sz="8" w:space="0" w:color="auto"/>
              <w:right w:val="nil"/>
            </w:tcBorders>
            <w:shd w:val="clear" w:color="auto" w:fill="auto"/>
            <w:noWrap/>
            <w:vAlign w:val="center"/>
            <w:hideMark/>
          </w:tcPr>
          <w:p w14:paraId="684EB69B" w14:textId="77777777" w:rsidR="007035BA" w:rsidRPr="007035BA" w:rsidRDefault="007035BA" w:rsidP="00837A3E">
            <w:pPr>
              <w:keepNext/>
              <w:keepLines/>
              <w:widowControl/>
              <w:autoSpaceDE/>
              <w:autoSpaceDN/>
              <w:adjustRightInd/>
              <w:jc w:val="center"/>
              <w:rPr>
                <w:b/>
                <w:bCs/>
                <w:color w:val="000000"/>
                <w:sz w:val="20"/>
                <w:szCs w:val="20"/>
              </w:rPr>
            </w:pPr>
            <w:r w:rsidRPr="007035BA">
              <w:rPr>
                <w:b/>
                <w:bCs/>
                <w:color w:val="000000"/>
                <w:sz w:val="20"/>
                <w:szCs w:val="20"/>
              </w:rPr>
              <w:t>Supplier</w:t>
            </w:r>
          </w:p>
        </w:tc>
        <w:tc>
          <w:tcPr>
            <w:tcW w:w="1160" w:type="dxa"/>
            <w:tcBorders>
              <w:top w:val="single" w:sz="8" w:space="0" w:color="auto"/>
              <w:left w:val="nil"/>
              <w:bottom w:val="single" w:sz="8" w:space="0" w:color="auto"/>
              <w:right w:val="nil"/>
            </w:tcBorders>
            <w:shd w:val="clear" w:color="auto" w:fill="auto"/>
            <w:vAlign w:val="center"/>
            <w:hideMark/>
          </w:tcPr>
          <w:p w14:paraId="2EC055F7" w14:textId="77777777" w:rsidR="007035BA" w:rsidRPr="007035BA" w:rsidRDefault="007035BA" w:rsidP="00837A3E">
            <w:pPr>
              <w:keepNext/>
              <w:keepLines/>
              <w:widowControl/>
              <w:autoSpaceDE/>
              <w:autoSpaceDN/>
              <w:adjustRightInd/>
              <w:jc w:val="center"/>
              <w:rPr>
                <w:b/>
                <w:bCs/>
                <w:color w:val="000000"/>
                <w:sz w:val="20"/>
                <w:szCs w:val="20"/>
              </w:rPr>
            </w:pPr>
            <w:r w:rsidRPr="007035BA">
              <w:rPr>
                <w:b/>
                <w:bCs/>
                <w:color w:val="000000"/>
                <w:sz w:val="20"/>
                <w:szCs w:val="20"/>
              </w:rPr>
              <w:t>Customer Count</w:t>
            </w:r>
          </w:p>
        </w:tc>
        <w:tc>
          <w:tcPr>
            <w:tcW w:w="1206" w:type="dxa"/>
            <w:tcBorders>
              <w:top w:val="single" w:sz="8" w:space="0" w:color="auto"/>
              <w:left w:val="nil"/>
              <w:bottom w:val="single" w:sz="8" w:space="0" w:color="auto"/>
              <w:right w:val="nil"/>
            </w:tcBorders>
            <w:shd w:val="clear" w:color="auto" w:fill="auto"/>
            <w:vAlign w:val="center"/>
            <w:hideMark/>
          </w:tcPr>
          <w:p w14:paraId="23AEBB20" w14:textId="77777777" w:rsidR="007035BA" w:rsidRPr="007035BA" w:rsidRDefault="007035BA" w:rsidP="00837A3E">
            <w:pPr>
              <w:keepNext/>
              <w:keepLines/>
              <w:widowControl/>
              <w:autoSpaceDE/>
              <w:autoSpaceDN/>
              <w:adjustRightInd/>
              <w:jc w:val="center"/>
              <w:rPr>
                <w:b/>
                <w:bCs/>
                <w:color w:val="000000"/>
                <w:sz w:val="20"/>
                <w:szCs w:val="20"/>
              </w:rPr>
            </w:pPr>
            <w:r w:rsidRPr="007035BA">
              <w:rPr>
                <w:b/>
                <w:bCs/>
                <w:color w:val="000000"/>
                <w:sz w:val="20"/>
                <w:szCs w:val="20"/>
              </w:rPr>
              <w:t>Number of PURA Complaints</w:t>
            </w:r>
          </w:p>
        </w:tc>
        <w:tc>
          <w:tcPr>
            <w:tcW w:w="1360" w:type="dxa"/>
            <w:tcBorders>
              <w:top w:val="single" w:sz="8" w:space="0" w:color="auto"/>
              <w:left w:val="nil"/>
              <w:bottom w:val="single" w:sz="8" w:space="0" w:color="auto"/>
              <w:right w:val="nil"/>
            </w:tcBorders>
            <w:shd w:val="clear" w:color="auto" w:fill="auto"/>
            <w:vAlign w:val="center"/>
            <w:hideMark/>
          </w:tcPr>
          <w:p w14:paraId="014D7EAA" w14:textId="77777777" w:rsidR="007035BA" w:rsidRPr="007035BA" w:rsidRDefault="007035BA" w:rsidP="00DC4425">
            <w:pPr>
              <w:keepNext/>
              <w:keepLines/>
              <w:widowControl/>
              <w:autoSpaceDE/>
              <w:autoSpaceDN/>
              <w:adjustRightInd/>
              <w:jc w:val="center"/>
              <w:rPr>
                <w:b/>
                <w:bCs/>
                <w:color w:val="000000"/>
                <w:sz w:val="20"/>
                <w:szCs w:val="20"/>
              </w:rPr>
            </w:pPr>
            <w:r w:rsidRPr="007035BA">
              <w:rPr>
                <w:b/>
                <w:bCs/>
                <w:color w:val="000000"/>
                <w:sz w:val="20"/>
                <w:szCs w:val="20"/>
              </w:rPr>
              <w:t>Percent of Supplier Customers</w:t>
            </w:r>
            <w:r w:rsidR="00DC4425">
              <w:rPr>
                <w:b/>
                <w:bCs/>
                <w:color w:val="000000"/>
                <w:sz w:val="20"/>
                <w:szCs w:val="20"/>
              </w:rPr>
              <w:t xml:space="preserve"> Served</w:t>
            </w:r>
          </w:p>
        </w:tc>
        <w:tc>
          <w:tcPr>
            <w:tcW w:w="1508" w:type="dxa"/>
            <w:tcBorders>
              <w:top w:val="single" w:sz="8" w:space="0" w:color="auto"/>
              <w:left w:val="nil"/>
              <w:bottom w:val="single" w:sz="8" w:space="0" w:color="auto"/>
              <w:right w:val="nil"/>
            </w:tcBorders>
            <w:shd w:val="clear" w:color="auto" w:fill="auto"/>
            <w:vAlign w:val="center"/>
            <w:hideMark/>
          </w:tcPr>
          <w:p w14:paraId="1500F08A" w14:textId="77777777" w:rsidR="007035BA" w:rsidRPr="007035BA" w:rsidRDefault="007035BA" w:rsidP="00837A3E">
            <w:pPr>
              <w:keepNext/>
              <w:keepLines/>
              <w:widowControl/>
              <w:autoSpaceDE/>
              <w:autoSpaceDN/>
              <w:adjustRightInd/>
              <w:jc w:val="center"/>
              <w:rPr>
                <w:b/>
                <w:bCs/>
                <w:color w:val="000000"/>
                <w:sz w:val="20"/>
                <w:szCs w:val="20"/>
              </w:rPr>
            </w:pPr>
            <w:r w:rsidRPr="007035BA">
              <w:rPr>
                <w:b/>
                <w:bCs/>
                <w:color w:val="000000"/>
                <w:sz w:val="20"/>
                <w:szCs w:val="20"/>
              </w:rPr>
              <w:t>Percent of All Complaints about Suppliers</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14:paraId="60189B20" w14:textId="77777777" w:rsidR="007035BA" w:rsidRPr="007035BA" w:rsidRDefault="00837A3E" w:rsidP="00076895">
            <w:pPr>
              <w:keepNext/>
              <w:keepLines/>
              <w:widowControl/>
              <w:autoSpaceDE/>
              <w:autoSpaceDN/>
              <w:adjustRightInd/>
              <w:jc w:val="center"/>
              <w:rPr>
                <w:b/>
                <w:bCs/>
                <w:color w:val="000000"/>
                <w:sz w:val="20"/>
                <w:szCs w:val="20"/>
              </w:rPr>
            </w:pPr>
            <w:r>
              <w:rPr>
                <w:b/>
                <w:bCs/>
                <w:color w:val="000000"/>
                <w:sz w:val="20"/>
                <w:szCs w:val="20"/>
              </w:rPr>
              <w:t xml:space="preserve">Percent of </w:t>
            </w:r>
            <w:r w:rsidR="007035BA" w:rsidRPr="007035BA">
              <w:rPr>
                <w:b/>
                <w:bCs/>
                <w:color w:val="000000"/>
                <w:sz w:val="20"/>
                <w:szCs w:val="20"/>
              </w:rPr>
              <w:t>Supplier's Customers Who File Complaints</w:t>
            </w:r>
          </w:p>
        </w:tc>
      </w:tr>
      <w:tr w:rsidR="007035BA" w:rsidRPr="007035BA" w14:paraId="37B5281D" w14:textId="77777777" w:rsidTr="00076895">
        <w:trPr>
          <w:trHeight w:val="259"/>
          <w:jc w:val="center"/>
        </w:trPr>
        <w:tc>
          <w:tcPr>
            <w:tcW w:w="3260" w:type="dxa"/>
            <w:tcBorders>
              <w:top w:val="nil"/>
              <w:left w:val="single" w:sz="8" w:space="0" w:color="auto"/>
              <w:bottom w:val="nil"/>
              <w:right w:val="nil"/>
            </w:tcBorders>
            <w:shd w:val="clear" w:color="auto" w:fill="auto"/>
            <w:noWrap/>
            <w:vAlign w:val="bottom"/>
            <w:hideMark/>
          </w:tcPr>
          <w:p w14:paraId="52AAD0A8"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STARION ENERGY</w:t>
            </w:r>
          </w:p>
        </w:tc>
        <w:tc>
          <w:tcPr>
            <w:tcW w:w="1160" w:type="dxa"/>
            <w:tcBorders>
              <w:top w:val="nil"/>
              <w:left w:val="nil"/>
              <w:bottom w:val="nil"/>
              <w:right w:val="nil"/>
            </w:tcBorders>
            <w:shd w:val="clear" w:color="auto" w:fill="auto"/>
            <w:noWrap/>
            <w:vAlign w:val="bottom"/>
            <w:hideMark/>
          </w:tcPr>
          <w:p w14:paraId="7E13AB8C"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26,258 </w:t>
            </w:r>
          </w:p>
        </w:tc>
        <w:tc>
          <w:tcPr>
            <w:tcW w:w="1206" w:type="dxa"/>
            <w:tcBorders>
              <w:top w:val="nil"/>
              <w:left w:val="nil"/>
              <w:bottom w:val="nil"/>
              <w:right w:val="nil"/>
            </w:tcBorders>
            <w:shd w:val="clear" w:color="auto" w:fill="auto"/>
            <w:noWrap/>
            <w:vAlign w:val="bottom"/>
            <w:hideMark/>
          </w:tcPr>
          <w:p w14:paraId="53A916FD"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190</w:t>
            </w:r>
          </w:p>
        </w:tc>
        <w:tc>
          <w:tcPr>
            <w:tcW w:w="1360" w:type="dxa"/>
            <w:tcBorders>
              <w:top w:val="nil"/>
              <w:left w:val="nil"/>
              <w:bottom w:val="nil"/>
              <w:right w:val="nil"/>
            </w:tcBorders>
            <w:shd w:val="clear" w:color="auto" w:fill="auto"/>
            <w:noWrap/>
            <w:vAlign w:val="bottom"/>
            <w:hideMark/>
          </w:tcPr>
          <w:p w14:paraId="18E3CEF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4.55%</w:t>
            </w:r>
          </w:p>
        </w:tc>
        <w:tc>
          <w:tcPr>
            <w:tcW w:w="1508" w:type="dxa"/>
            <w:tcBorders>
              <w:top w:val="nil"/>
              <w:left w:val="nil"/>
              <w:bottom w:val="nil"/>
              <w:right w:val="nil"/>
            </w:tcBorders>
            <w:shd w:val="clear" w:color="auto" w:fill="auto"/>
            <w:noWrap/>
            <w:vAlign w:val="bottom"/>
            <w:hideMark/>
          </w:tcPr>
          <w:p w14:paraId="76869DA8"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23.23%</w:t>
            </w:r>
          </w:p>
        </w:tc>
        <w:tc>
          <w:tcPr>
            <w:tcW w:w="1705" w:type="dxa"/>
            <w:tcBorders>
              <w:top w:val="nil"/>
              <w:left w:val="nil"/>
              <w:bottom w:val="nil"/>
              <w:right w:val="single" w:sz="8" w:space="0" w:color="auto"/>
            </w:tcBorders>
            <w:shd w:val="clear" w:color="auto" w:fill="auto"/>
            <w:noWrap/>
            <w:vAlign w:val="bottom"/>
            <w:hideMark/>
          </w:tcPr>
          <w:p w14:paraId="255B3962"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0.72%</w:t>
            </w:r>
          </w:p>
        </w:tc>
      </w:tr>
      <w:tr w:rsidR="007035BA" w:rsidRPr="007035BA" w14:paraId="399D2A5A"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3BD0AD43"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LIBERTY POWER</w:t>
            </w:r>
          </w:p>
        </w:tc>
        <w:tc>
          <w:tcPr>
            <w:tcW w:w="1160" w:type="dxa"/>
            <w:tcBorders>
              <w:top w:val="nil"/>
              <w:left w:val="nil"/>
              <w:bottom w:val="nil"/>
              <w:right w:val="nil"/>
            </w:tcBorders>
            <w:shd w:val="clear" w:color="auto" w:fill="auto"/>
            <w:noWrap/>
            <w:vAlign w:val="bottom"/>
            <w:hideMark/>
          </w:tcPr>
          <w:p w14:paraId="4F93BD2E"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2,755 </w:t>
            </w:r>
          </w:p>
        </w:tc>
        <w:tc>
          <w:tcPr>
            <w:tcW w:w="1206" w:type="dxa"/>
            <w:tcBorders>
              <w:top w:val="nil"/>
              <w:left w:val="nil"/>
              <w:bottom w:val="nil"/>
              <w:right w:val="nil"/>
            </w:tcBorders>
            <w:shd w:val="clear" w:color="auto" w:fill="auto"/>
            <w:noWrap/>
            <w:vAlign w:val="bottom"/>
            <w:hideMark/>
          </w:tcPr>
          <w:p w14:paraId="71CD5F6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19</w:t>
            </w:r>
          </w:p>
        </w:tc>
        <w:tc>
          <w:tcPr>
            <w:tcW w:w="1360" w:type="dxa"/>
            <w:tcBorders>
              <w:top w:val="nil"/>
              <w:left w:val="nil"/>
              <w:bottom w:val="nil"/>
              <w:right w:val="nil"/>
            </w:tcBorders>
            <w:shd w:val="clear" w:color="auto" w:fill="auto"/>
            <w:noWrap/>
            <w:vAlign w:val="bottom"/>
            <w:hideMark/>
          </w:tcPr>
          <w:p w14:paraId="6ED10BFD"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0.48%</w:t>
            </w:r>
          </w:p>
        </w:tc>
        <w:tc>
          <w:tcPr>
            <w:tcW w:w="1508" w:type="dxa"/>
            <w:tcBorders>
              <w:top w:val="nil"/>
              <w:left w:val="nil"/>
              <w:bottom w:val="nil"/>
              <w:right w:val="nil"/>
            </w:tcBorders>
            <w:shd w:val="clear" w:color="auto" w:fill="auto"/>
            <w:noWrap/>
            <w:vAlign w:val="bottom"/>
            <w:hideMark/>
          </w:tcPr>
          <w:p w14:paraId="64C5DD92"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2.32%</w:t>
            </w:r>
          </w:p>
        </w:tc>
        <w:tc>
          <w:tcPr>
            <w:tcW w:w="1705" w:type="dxa"/>
            <w:tcBorders>
              <w:top w:val="nil"/>
              <w:left w:val="nil"/>
              <w:bottom w:val="nil"/>
              <w:right w:val="single" w:sz="8" w:space="0" w:color="auto"/>
            </w:tcBorders>
            <w:shd w:val="clear" w:color="auto" w:fill="auto"/>
            <w:noWrap/>
            <w:vAlign w:val="bottom"/>
            <w:hideMark/>
          </w:tcPr>
          <w:p w14:paraId="15D2233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0.69%</w:t>
            </w:r>
          </w:p>
        </w:tc>
      </w:tr>
      <w:tr w:rsidR="007035BA" w:rsidRPr="007035BA" w14:paraId="3D9994A0"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5D6E9BD4"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CONN GAS &amp; ELECTRIC</w:t>
            </w:r>
          </w:p>
        </w:tc>
        <w:tc>
          <w:tcPr>
            <w:tcW w:w="1160" w:type="dxa"/>
            <w:tcBorders>
              <w:top w:val="nil"/>
              <w:left w:val="nil"/>
              <w:bottom w:val="nil"/>
              <w:right w:val="nil"/>
            </w:tcBorders>
            <w:shd w:val="clear" w:color="auto" w:fill="auto"/>
            <w:noWrap/>
            <w:vAlign w:val="bottom"/>
            <w:hideMark/>
          </w:tcPr>
          <w:p w14:paraId="775D0BBF"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6,693 </w:t>
            </w:r>
          </w:p>
        </w:tc>
        <w:tc>
          <w:tcPr>
            <w:tcW w:w="1206" w:type="dxa"/>
            <w:tcBorders>
              <w:top w:val="nil"/>
              <w:left w:val="nil"/>
              <w:bottom w:val="nil"/>
              <w:right w:val="nil"/>
            </w:tcBorders>
            <w:shd w:val="clear" w:color="auto" w:fill="auto"/>
            <w:noWrap/>
            <w:vAlign w:val="bottom"/>
            <w:hideMark/>
          </w:tcPr>
          <w:p w14:paraId="4798A8A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26</w:t>
            </w:r>
          </w:p>
        </w:tc>
        <w:tc>
          <w:tcPr>
            <w:tcW w:w="1360" w:type="dxa"/>
            <w:tcBorders>
              <w:top w:val="nil"/>
              <w:left w:val="nil"/>
              <w:bottom w:val="nil"/>
              <w:right w:val="nil"/>
            </w:tcBorders>
            <w:shd w:val="clear" w:color="auto" w:fill="auto"/>
            <w:noWrap/>
            <w:vAlign w:val="bottom"/>
            <w:hideMark/>
          </w:tcPr>
          <w:p w14:paraId="468A0746"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1.16%</w:t>
            </w:r>
          </w:p>
        </w:tc>
        <w:tc>
          <w:tcPr>
            <w:tcW w:w="1508" w:type="dxa"/>
            <w:tcBorders>
              <w:top w:val="nil"/>
              <w:left w:val="nil"/>
              <w:bottom w:val="nil"/>
              <w:right w:val="nil"/>
            </w:tcBorders>
            <w:shd w:val="clear" w:color="auto" w:fill="auto"/>
            <w:noWrap/>
            <w:vAlign w:val="bottom"/>
            <w:hideMark/>
          </w:tcPr>
          <w:p w14:paraId="3845D9A7"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3.18%</w:t>
            </w:r>
          </w:p>
        </w:tc>
        <w:tc>
          <w:tcPr>
            <w:tcW w:w="1705" w:type="dxa"/>
            <w:tcBorders>
              <w:top w:val="nil"/>
              <w:left w:val="nil"/>
              <w:bottom w:val="nil"/>
              <w:right w:val="single" w:sz="8" w:space="0" w:color="auto"/>
            </w:tcBorders>
            <w:shd w:val="clear" w:color="auto" w:fill="auto"/>
            <w:noWrap/>
            <w:vAlign w:val="bottom"/>
            <w:hideMark/>
          </w:tcPr>
          <w:p w14:paraId="6ABBB19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0.39%</w:t>
            </w:r>
          </w:p>
        </w:tc>
      </w:tr>
      <w:tr w:rsidR="007035BA" w:rsidRPr="007035BA" w14:paraId="5490EDB2"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47E787A1"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CLEARVIEW</w:t>
            </w:r>
          </w:p>
        </w:tc>
        <w:tc>
          <w:tcPr>
            <w:tcW w:w="1160" w:type="dxa"/>
            <w:tcBorders>
              <w:top w:val="nil"/>
              <w:left w:val="nil"/>
              <w:bottom w:val="nil"/>
              <w:right w:val="nil"/>
            </w:tcBorders>
            <w:shd w:val="clear" w:color="auto" w:fill="auto"/>
            <w:noWrap/>
            <w:vAlign w:val="bottom"/>
            <w:hideMark/>
          </w:tcPr>
          <w:p w14:paraId="184B0C99"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13,325 </w:t>
            </w:r>
          </w:p>
        </w:tc>
        <w:tc>
          <w:tcPr>
            <w:tcW w:w="1206" w:type="dxa"/>
            <w:tcBorders>
              <w:top w:val="nil"/>
              <w:left w:val="nil"/>
              <w:bottom w:val="nil"/>
              <w:right w:val="nil"/>
            </w:tcBorders>
            <w:shd w:val="clear" w:color="auto" w:fill="auto"/>
            <w:noWrap/>
            <w:vAlign w:val="bottom"/>
            <w:hideMark/>
          </w:tcPr>
          <w:p w14:paraId="122F0CA5"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41</w:t>
            </w:r>
          </w:p>
        </w:tc>
        <w:tc>
          <w:tcPr>
            <w:tcW w:w="1360" w:type="dxa"/>
            <w:tcBorders>
              <w:top w:val="nil"/>
              <w:left w:val="nil"/>
              <w:bottom w:val="nil"/>
              <w:right w:val="nil"/>
            </w:tcBorders>
            <w:shd w:val="clear" w:color="auto" w:fill="auto"/>
            <w:noWrap/>
            <w:vAlign w:val="bottom"/>
            <w:hideMark/>
          </w:tcPr>
          <w:p w14:paraId="3204DF39"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2.31%</w:t>
            </w:r>
          </w:p>
        </w:tc>
        <w:tc>
          <w:tcPr>
            <w:tcW w:w="1508" w:type="dxa"/>
            <w:tcBorders>
              <w:top w:val="nil"/>
              <w:left w:val="nil"/>
              <w:bottom w:val="nil"/>
              <w:right w:val="nil"/>
            </w:tcBorders>
            <w:shd w:val="clear" w:color="auto" w:fill="auto"/>
            <w:noWrap/>
            <w:vAlign w:val="bottom"/>
            <w:hideMark/>
          </w:tcPr>
          <w:p w14:paraId="7FF459E8"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5.01%</w:t>
            </w:r>
          </w:p>
        </w:tc>
        <w:tc>
          <w:tcPr>
            <w:tcW w:w="1705" w:type="dxa"/>
            <w:tcBorders>
              <w:top w:val="nil"/>
              <w:left w:val="nil"/>
              <w:bottom w:val="nil"/>
              <w:right w:val="single" w:sz="8" w:space="0" w:color="auto"/>
            </w:tcBorders>
            <w:shd w:val="clear" w:color="auto" w:fill="auto"/>
            <w:noWrap/>
            <w:vAlign w:val="bottom"/>
            <w:hideMark/>
          </w:tcPr>
          <w:p w14:paraId="5C2A0F11"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0.31%</w:t>
            </w:r>
          </w:p>
        </w:tc>
      </w:tr>
      <w:tr w:rsidR="007035BA" w:rsidRPr="007035BA" w14:paraId="0FB0A584"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56FB9C6E"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PALMCO POWER</w:t>
            </w:r>
          </w:p>
        </w:tc>
        <w:tc>
          <w:tcPr>
            <w:tcW w:w="1160" w:type="dxa"/>
            <w:tcBorders>
              <w:top w:val="nil"/>
              <w:left w:val="nil"/>
              <w:bottom w:val="nil"/>
              <w:right w:val="nil"/>
            </w:tcBorders>
            <w:shd w:val="clear" w:color="auto" w:fill="auto"/>
            <w:noWrap/>
            <w:vAlign w:val="bottom"/>
            <w:hideMark/>
          </w:tcPr>
          <w:p w14:paraId="0DAD0ED7"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6,975 </w:t>
            </w:r>
          </w:p>
        </w:tc>
        <w:tc>
          <w:tcPr>
            <w:tcW w:w="1206" w:type="dxa"/>
            <w:tcBorders>
              <w:top w:val="nil"/>
              <w:left w:val="nil"/>
              <w:bottom w:val="nil"/>
              <w:right w:val="nil"/>
            </w:tcBorders>
            <w:shd w:val="clear" w:color="auto" w:fill="auto"/>
            <w:noWrap/>
            <w:vAlign w:val="bottom"/>
            <w:hideMark/>
          </w:tcPr>
          <w:p w14:paraId="431F10A4"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21</w:t>
            </w:r>
          </w:p>
        </w:tc>
        <w:tc>
          <w:tcPr>
            <w:tcW w:w="1360" w:type="dxa"/>
            <w:tcBorders>
              <w:top w:val="nil"/>
              <w:left w:val="nil"/>
              <w:bottom w:val="nil"/>
              <w:right w:val="nil"/>
            </w:tcBorders>
            <w:shd w:val="clear" w:color="auto" w:fill="auto"/>
            <w:noWrap/>
            <w:vAlign w:val="bottom"/>
            <w:hideMark/>
          </w:tcPr>
          <w:p w14:paraId="19CE48C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1.21%</w:t>
            </w:r>
          </w:p>
        </w:tc>
        <w:tc>
          <w:tcPr>
            <w:tcW w:w="1508" w:type="dxa"/>
            <w:tcBorders>
              <w:top w:val="nil"/>
              <w:left w:val="nil"/>
              <w:bottom w:val="nil"/>
              <w:right w:val="nil"/>
            </w:tcBorders>
            <w:shd w:val="clear" w:color="auto" w:fill="auto"/>
            <w:noWrap/>
            <w:vAlign w:val="bottom"/>
            <w:hideMark/>
          </w:tcPr>
          <w:p w14:paraId="19CBEFE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2.57%</w:t>
            </w:r>
          </w:p>
        </w:tc>
        <w:tc>
          <w:tcPr>
            <w:tcW w:w="1705" w:type="dxa"/>
            <w:tcBorders>
              <w:top w:val="nil"/>
              <w:left w:val="nil"/>
              <w:bottom w:val="nil"/>
              <w:right w:val="single" w:sz="8" w:space="0" w:color="auto"/>
            </w:tcBorders>
            <w:shd w:val="clear" w:color="auto" w:fill="auto"/>
            <w:noWrap/>
            <w:vAlign w:val="bottom"/>
            <w:hideMark/>
          </w:tcPr>
          <w:p w14:paraId="3FBEA444"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0.30%</w:t>
            </w:r>
          </w:p>
        </w:tc>
      </w:tr>
      <w:tr w:rsidR="007035BA" w:rsidRPr="007035BA" w14:paraId="718BE5CE"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06CA6025"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CONSTELLATION</w:t>
            </w:r>
          </w:p>
        </w:tc>
        <w:tc>
          <w:tcPr>
            <w:tcW w:w="1160" w:type="dxa"/>
            <w:tcBorders>
              <w:top w:val="nil"/>
              <w:left w:val="nil"/>
              <w:bottom w:val="nil"/>
              <w:right w:val="nil"/>
            </w:tcBorders>
            <w:shd w:val="clear" w:color="auto" w:fill="auto"/>
            <w:noWrap/>
            <w:vAlign w:val="bottom"/>
            <w:hideMark/>
          </w:tcPr>
          <w:p w14:paraId="1CD71ED8"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8,815 </w:t>
            </w:r>
          </w:p>
        </w:tc>
        <w:tc>
          <w:tcPr>
            <w:tcW w:w="1206" w:type="dxa"/>
            <w:tcBorders>
              <w:top w:val="nil"/>
              <w:left w:val="nil"/>
              <w:bottom w:val="nil"/>
              <w:right w:val="nil"/>
            </w:tcBorders>
            <w:shd w:val="clear" w:color="auto" w:fill="auto"/>
            <w:noWrap/>
            <w:vAlign w:val="bottom"/>
            <w:hideMark/>
          </w:tcPr>
          <w:p w14:paraId="03C70F2D"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23</w:t>
            </w:r>
          </w:p>
        </w:tc>
        <w:tc>
          <w:tcPr>
            <w:tcW w:w="1360" w:type="dxa"/>
            <w:tcBorders>
              <w:top w:val="nil"/>
              <w:left w:val="nil"/>
              <w:bottom w:val="nil"/>
              <w:right w:val="nil"/>
            </w:tcBorders>
            <w:shd w:val="clear" w:color="auto" w:fill="auto"/>
            <w:noWrap/>
            <w:vAlign w:val="bottom"/>
            <w:hideMark/>
          </w:tcPr>
          <w:p w14:paraId="069DE88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1.53%</w:t>
            </w:r>
          </w:p>
        </w:tc>
        <w:tc>
          <w:tcPr>
            <w:tcW w:w="1508" w:type="dxa"/>
            <w:tcBorders>
              <w:top w:val="nil"/>
              <w:left w:val="nil"/>
              <w:bottom w:val="nil"/>
              <w:right w:val="nil"/>
            </w:tcBorders>
            <w:shd w:val="clear" w:color="auto" w:fill="auto"/>
            <w:noWrap/>
            <w:vAlign w:val="bottom"/>
            <w:hideMark/>
          </w:tcPr>
          <w:p w14:paraId="72ED1DF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2.81%</w:t>
            </w:r>
          </w:p>
        </w:tc>
        <w:tc>
          <w:tcPr>
            <w:tcW w:w="1705" w:type="dxa"/>
            <w:tcBorders>
              <w:top w:val="nil"/>
              <w:left w:val="nil"/>
              <w:bottom w:val="nil"/>
              <w:right w:val="single" w:sz="8" w:space="0" w:color="auto"/>
            </w:tcBorders>
            <w:shd w:val="clear" w:color="auto" w:fill="auto"/>
            <w:noWrap/>
            <w:vAlign w:val="bottom"/>
            <w:hideMark/>
          </w:tcPr>
          <w:p w14:paraId="0DA4423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0.26%</w:t>
            </w:r>
          </w:p>
        </w:tc>
      </w:tr>
      <w:tr w:rsidR="007035BA" w:rsidRPr="007035BA" w14:paraId="4DA25757"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1EFBFCC9"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CHOICE ENERGY</w:t>
            </w:r>
          </w:p>
        </w:tc>
        <w:tc>
          <w:tcPr>
            <w:tcW w:w="1160" w:type="dxa"/>
            <w:tcBorders>
              <w:top w:val="nil"/>
              <w:left w:val="nil"/>
              <w:bottom w:val="nil"/>
              <w:right w:val="nil"/>
            </w:tcBorders>
            <w:shd w:val="clear" w:color="auto" w:fill="auto"/>
            <w:noWrap/>
            <w:vAlign w:val="bottom"/>
            <w:hideMark/>
          </w:tcPr>
          <w:p w14:paraId="441D62B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13,036 </w:t>
            </w:r>
          </w:p>
        </w:tc>
        <w:tc>
          <w:tcPr>
            <w:tcW w:w="1206" w:type="dxa"/>
            <w:tcBorders>
              <w:top w:val="nil"/>
              <w:left w:val="nil"/>
              <w:bottom w:val="nil"/>
              <w:right w:val="nil"/>
            </w:tcBorders>
            <w:shd w:val="clear" w:color="auto" w:fill="auto"/>
            <w:noWrap/>
            <w:vAlign w:val="bottom"/>
            <w:hideMark/>
          </w:tcPr>
          <w:p w14:paraId="365FF89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34</w:t>
            </w:r>
          </w:p>
        </w:tc>
        <w:tc>
          <w:tcPr>
            <w:tcW w:w="1360" w:type="dxa"/>
            <w:tcBorders>
              <w:top w:val="nil"/>
              <w:left w:val="nil"/>
              <w:bottom w:val="nil"/>
              <w:right w:val="nil"/>
            </w:tcBorders>
            <w:shd w:val="clear" w:color="auto" w:fill="auto"/>
            <w:noWrap/>
            <w:vAlign w:val="bottom"/>
            <w:hideMark/>
          </w:tcPr>
          <w:p w14:paraId="1ACFAB78"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2.26%</w:t>
            </w:r>
          </w:p>
        </w:tc>
        <w:tc>
          <w:tcPr>
            <w:tcW w:w="1508" w:type="dxa"/>
            <w:tcBorders>
              <w:top w:val="nil"/>
              <w:left w:val="nil"/>
              <w:bottom w:val="nil"/>
              <w:right w:val="nil"/>
            </w:tcBorders>
            <w:shd w:val="clear" w:color="auto" w:fill="auto"/>
            <w:noWrap/>
            <w:vAlign w:val="bottom"/>
            <w:hideMark/>
          </w:tcPr>
          <w:p w14:paraId="2BF1D77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4.16%</w:t>
            </w:r>
          </w:p>
        </w:tc>
        <w:tc>
          <w:tcPr>
            <w:tcW w:w="1705" w:type="dxa"/>
            <w:tcBorders>
              <w:top w:val="nil"/>
              <w:left w:val="nil"/>
              <w:bottom w:val="nil"/>
              <w:right w:val="single" w:sz="8" w:space="0" w:color="auto"/>
            </w:tcBorders>
            <w:shd w:val="clear" w:color="auto" w:fill="auto"/>
            <w:noWrap/>
            <w:vAlign w:val="bottom"/>
            <w:hideMark/>
          </w:tcPr>
          <w:p w14:paraId="77E2AA0B"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0.26%</w:t>
            </w:r>
          </w:p>
        </w:tc>
      </w:tr>
      <w:tr w:rsidR="007035BA" w:rsidRPr="007035BA" w14:paraId="45074165"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67FD7B72"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HOP ENERGY</w:t>
            </w:r>
          </w:p>
        </w:tc>
        <w:tc>
          <w:tcPr>
            <w:tcW w:w="1160" w:type="dxa"/>
            <w:tcBorders>
              <w:top w:val="nil"/>
              <w:left w:val="nil"/>
              <w:bottom w:val="nil"/>
              <w:right w:val="nil"/>
            </w:tcBorders>
            <w:shd w:val="clear" w:color="auto" w:fill="auto"/>
            <w:noWrap/>
            <w:vAlign w:val="bottom"/>
            <w:hideMark/>
          </w:tcPr>
          <w:p w14:paraId="0275B243"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3,614 </w:t>
            </w:r>
          </w:p>
        </w:tc>
        <w:tc>
          <w:tcPr>
            <w:tcW w:w="1206" w:type="dxa"/>
            <w:tcBorders>
              <w:top w:val="nil"/>
              <w:left w:val="nil"/>
              <w:bottom w:val="nil"/>
              <w:right w:val="nil"/>
            </w:tcBorders>
            <w:shd w:val="clear" w:color="auto" w:fill="auto"/>
            <w:noWrap/>
            <w:vAlign w:val="bottom"/>
            <w:hideMark/>
          </w:tcPr>
          <w:p w14:paraId="784472C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6</w:t>
            </w:r>
          </w:p>
        </w:tc>
        <w:tc>
          <w:tcPr>
            <w:tcW w:w="1360" w:type="dxa"/>
            <w:tcBorders>
              <w:top w:val="nil"/>
              <w:left w:val="nil"/>
              <w:bottom w:val="nil"/>
              <w:right w:val="nil"/>
            </w:tcBorders>
            <w:shd w:val="clear" w:color="auto" w:fill="auto"/>
            <w:noWrap/>
            <w:vAlign w:val="bottom"/>
            <w:hideMark/>
          </w:tcPr>
          <w:p w14:paraId="74F33BB7"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0.63%</w:t>
            </w:r>
          </w:p>
        </w:tc>
        <w:tc>
          <w:tcPr>
            <w:tcW w:w="1508" w:type="dxa"/>
            <w:tcBorders>
              <w:top w:val="nil"/>
              <w:left w:val="nil"/>
              <w:bottom w:val="nil"/>
              <w:right w:val="nil"/>
            </w:tcBorders>
            <w:shd w:val="clear" w:color="auto" w:fill="auto"/>
            <w:noWrap/>
            <w:vAlign w:val="bottom"/>
            <w:hideMark/>
          </w:tcPr>
          <w:p w14:paraId="3246D816"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0.73%</w:t>
            </w:r>
          </w:p>
        </w:tc>
        <w:tc>
          <w:tcPr>
            <w:tcW w:w="1705" w:type="dxa"/>
            <w:tcBorders>
              <w:top w:val="nil"/>
              <w:left w:val="nil"/>
              <w:bottom w:val="nil"/>
              <w:right w:val="single" w:sz="8" w:space="0" w:color="auto"/>
            </w:tcBorders>
            <w:shd w:val="clear" w:color="auto" w:fill="auto"/>
            <w:noWrap/>
            <w:vAlign w:val="bottom"/>
            <w:hideMark/>
          </w:tcPr>
          <w:p w14:paraId="62DCA087"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0.17%</w:t>
            </w:r>
          </w:p>
        </w:tc>
      </w:tr>
      <w:tr w:rsidR="007035BA" w:rsidRPr="007035BA" w14:paraId="5715EFF9"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42649E2D"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PERIGEE</w:t>
            </w:r>
          </w:p>
        </w:tc>
        <w:tc>
          <w:tcPr>
            <w:tcW w:w="1160" w:type="dxa"/>
            <w:tcBorders>
              <w:top w:val="nil"/>
              <w:left w:val="nil"/>
              <w:bottom w:val="nil"/>
              <w:right w:val="nil"/>
            </w:tcBorders>
            <w:shd w:val="clear" w:color="auto" w:fill="auto"/>
            <w:noWrap/>
            <w:vAlign w:val="bottom"/>
            <w:hideMark/>
          </w:tcPr>
          <w:p w14:paraId="29150010"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3,667 </w:t>
            </w:r>
          </w:p>
        </w:tc>
        <w:tc>
          <w:tcPr>
            <w:tcW w:w="1206" w:type="dxa"/>
            <w:tcBorders>
              <w:top w:val="nil"/>
              <w:left w:val="nil"/>
              <w:bottom w:val="nil"/>
              <w:right w:val="nil"/>
            </w:tcBorders>
            <w:shd w:val="clear" w:color="auto" w:fill="auto"/>
            <w:noWrap/>
            <w:vAlign w:val="bottom"/>
            <w:hideMark/>
          </w:tcPr>
          <w:p w14:paraId="25B025E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6</w:t>
            </w:r>
          </w:p>
        </w:tc>
        <w:tc>
          <w:tcPr>
            <w:tcW w:w="1360" w:type="dxa"/>
            <w:tcBorders>
              <w:top w:val="nil"/>
              <w:left w:val="nil"/>
              <w:bottom w:val="nil"/>
              <w:right w:val="nil"/>
            </w:tcBorders>
            <w:shd w:val="clear" w:color="auto" w:fill="auto"/>
            <w:noWrap/>
            <w:vAlign w:val="bottom"/>
            <w:hideMark/>
          </w:tcPr>
          <w:p w14:paraId="71A9E7D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0.64%</w:t>
            </w:r>
          </w:p>
        </w:tc>
        <w:tc>
          <w:tcPr>
            <w:tcW w:w="1508" w:type="dxa"/>
            <w:tcBorders>
              <w:top w:val="nil"/>
              <w:left w:val="nil"/>
              <w:bottom w:val="nil"/>
              <w:right w:val="nil"/>
            </w:tcBorders>
            <w:shd w:val="clear" w:color="auto" w:fill="auto"/>
            <w:noWrap/>
            <w:vAlign w:val="bottom"/>
            <w:hideMark/>
          </w:tcPr>
          <w:p w14:paraId="1E2F879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0.73%</w:t>
            </w:r>
          </w:p>
        </w:tc>
        <w:tc>
          <w:tcPr>
            <w:tcW w:w="1705" w:type="dxa"/>
            <w:tcBorders>
              <w:top w:val="nil"/>
              <w:left w:val="nil"/>
              <w:bottom w:val="nil"/>
              <w:right w:val="single" w:sz="8" w:space="0" w:color="auto"/>
            </w:tcBorders>
            <w:shd w:val="clear" w:color="auto" w:fill="auto"/>
            <w:noWrap/>
            <w:vAlign w:val="bottom"/>
            <w:hideMark/>
          </w:tcPr>
          <w:p w14:paraId="20722C3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0.16%</w:t>
            </w:r>
          </w:p>
        </w:tc>
      </w:tr>
      <w:tr w:rsidR="007035BA" w:rsidRPr="007035BA" w14:paraId="2AB44AE2"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7FA408AE"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PUBLIC POWER &amp; UTILITY</w:t>
            </w:r>
          </w:p>
        </w:tc>
        <w:tc>
          <w:tcPr>
            <w:tcW w:w="1160" w:type="dxa"/>
            <w:tcBorders>
              <w:top w:val="nil"/>
              <w:left w:val="nil"/>
              <w:bottom w:val="nil"/>
              <w:right w:val="nil"/>
            </w:tcBorders>
            <w:shd w:val="clear" w:color="auto" w:fill="auto"/>
            <w:noWrap/>
            <w:vAlign w:val="bottom"/>
            <w:hideMark/>
          </w:tcPr>
          <w:p w14:paraId="52EE0A9F"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82,089 </w:t>
            </w:r>
          </w:p>
        </w:tc>
        <w:tc>
          <w:tcPr>
            <w:tcW w:w="1206" w:type="dxa"/>
            <w:tcBorders>
              <w:top w:val="nil"/>
              <w:left w:val="nil"/>
              <w:bottom w:val="nil"/>
              <w:right w:val="nil"/>
            </w:tcBorders>
            <w:shd w:val="clear" w:color="auto" w:fill="auto"/>
            <w:noWrap/>
            <w:vAlign w:val="bottom"/>
            <w:hideMark/>
          </w:tcPr>
          <w:p w14:paraId="111A6914"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133</w:t>
            </w:r>
          </w:p>
        </w:tc>
        <w:tc>
          <w:tcPr>
            <w:tcW w:w="1360" w:type="dxa"/>
            <w:tcBorders>
              <w:top w:val="nil"/>
              <w:left w:val="nil"/>
              <w:bottom w:val="nil"/>
              <w:right w:val="nil"/>
            </w:tcBorders>
            <w:shd w:val="clear" w:color="auto" w:fill="auto"/>
            <w:noWrap/>
            <w:vAlign w:val="bottom"/>
            <w:hideMark/>
          </w:tcPr>
          <w:p w14:paraId="3D3DECA6"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14.22%</w:t>
            </w:r>
          </w:p>
        </w:tc>
        <w:tc>
          <w:tcPr>
            <w:tcW w:w="1508" w:type="dxa"/>
            <w:tcBorders>
              <w:top w:val="nil"/>
              <w:left w:val="nil"/>
              <w:bottom w:val="nil"/>
              <w:right w:val="nil"/>
            </w:tcBorders>
            <w:shd w:val="clear" w:color="auto" w:fill="auto"/>
            <w:noWrap/>
            <w:vAlign w:val="bottom"/>
            <w:hideMark/>
          </w:tcPr>
          <w:p w14:paraId="0BAC619E"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16.26%</w:t>
            </w:r>
          </w:p>
        </w:tc>
        <w:tc>
          <w:tcPr>
            <w:tcW w:w="1705" w:type="dxa"/>
            <w:tcBorders>
              <w:top w:val="nil"/>
              <w:left w:val="nil"/>
              <w:bottom w:val="nil"/>
              <w:right w:val="single" w:sz="8" w:space="0" w:color="auto"/>
            </w:tcBorders>
            <w:shd w:val="clear" w:color="auto" w:fill="auto"/>
            <w:noWrap/>
            <w:vAlign w:val="bottom"/>
            <w:hideMark/>
          </w:tcPr>
          <w:p w14:paraId="6F299E8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0.16%</w:t>
            </w:r>
          </w:p>
        </w:tc>
      </w:tr>
      <w:tr w:rsidR="007035BA" w:rsidRPr="007035BA" w14:paraId="4DA4E2A2"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61A99AD7"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INDEPENDENCE</w:t>
            </w:r>
          </w:p>
        </w:tc>
        <w:tc>
          <w:tcPr>
            <w:tcW w:w="1160" w:type="dxa"/>
            <w:tcBorders>
              <w:top w:val="nil"/>
              <w:left w:val="nil"/>
              <w:bottom w:val="nil"/>
              <w:right w:val="nil"/>
            </w:tcBorders>
            <w:shd w:val="clear" w:color="auto" w:fill="auto"/>
            <w:noWrap/>
            <w:vAlign w:val="bottom"/>
            <w:hideMark/>
          </w:tcPr>
          <w:p w14:paraId="42A602AC"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628 </w:t>
            </w:r>
          </w:p>
        </w:tc>
        <w:tc>
          <w:tcPr>
            <w:tcW w:w="1206" w:type="dxa"/>
            <w:tcBorders>
              <w:top w:val="nil"/>
              <w:left w:val="nil"/>
              <w:bottom w:val="nil"/>
              <w:right w:val="nil"/>
            </w:tcBorders>
            <w:shd w:val="clear" w:color="auto" w:fill="auto"/>
            <w:noWrap/>
            <w:vAlign w:val="bottom"/>
            <w:hideMark/>
          </w:tcPr>
          <w:p w14:paraId="75C14EC8"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w:t>
            </w:r>
          </w:p>
        </w:tc>
        <w:tc>
          <w:tcPr>
            <w:tcW w:w="1360" w:type="dxa"/>
            <w:tcBorders>
              <w:top w:val="nil"/>
              <w:left w:val="nil"/>
              <w:bottom w:val="nil"/>
              <w:right w:val="nil"/>
            </w:tcBorders>
            <w:shd w:val="clear" w:color="auto" w:fill="auto"/>
            <w:noWrap/>
            <w:vAlign w:val="bottom"/>
            <w:hideMark/>
          </w:tcPr>
          <w:p w14:paraId="13F847BE"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0.11%</w:t>
            </w:r>
          </w:p>
        </w:tc>
        <w:tc>
          <w:tcPr>
            <w:tcW w:w="1508" w:type="dxa"/>
            <w:tcBorders>
              <w:top w:val="nil"/>
              <w:left w:val="nil"/>
              <w:bottom w:val="nil"/>
              <w:right w:val="nil"/>
            </w:tcBorders>
            <w:shd w:val="clear" w:color="auto" w:fill="auto"/>
            <w:noWrap/>
            <w:vAlign w:val="bottom"/>
            <w:hideMark/>
          </w:tcPr>
          <w:p w14:paraId="36E50BE1"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0.12%</w:t>
            </w:r>
          </w:p>
        </w:tc>
        <w:tc>
          <w:tcPr>
            <w:tcW w:w="1705" w:type="dxa"/>
            <w:tcBorders>
              <w:top w:val="nil"/>
              <w:left w:val="nil"/>
              <w:bottom w:val="nil"/>
              <w:right w:val="single" w:sz="8" w:space="0" w:color="auto"/>
            </w:tcBorders>
            <w:shd w:val="clear" w:color="auto" w:fill="auto"/>
            <w:noWrap/>
            <w:vAlign w:val="bottom"/>
            <w:hideMark/>
          </w:tcPr>
          <w:p w14:paraId="0C05980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0.16%</w:t>
            </w:r>
          </w:p>
        </w:tc>
      </w:tr>
      <w:tr w:rsidR="007035BA" w:rsidRPr="007035BA" w14:paraId="3931B940"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49974841"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VIRIDIAN ENERGY</w:t>
            </w:r>
          </w:p>
        </w:tc>
        <w:tc>
          <w:tcPr>
            <w:tcW w:w="1160" w:type="dxa"/>
            <w:tcBorders>
              <w:top w:val="nil"/>
              <w:left w:val="nil"/>
              <w:bottom w:val="nil"/>
              <w:right w:val="nil"/>
            </w:tcBorders>
            <w:shd w:val="clear" w:color="auto" w:fill="auto"/>
            <w:noWrap/>
            <w:vAlign w:val="bottom"/>
            <w:hideMark/>
          </w:tcPr>
          <w:p w14:paraId="4BBBB290"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18,216 </w:t>
            </w:r>
          </w:p>
        </w:tc>
        <w:tc>
          <w:tcPr>
            <w:tcW w:w="1206" w:type="dxa"/>
            <w:tcBorders>
              <w:top w:val="nil"/>
              <w:left w:val="nil"/>
              <w:bottom w:val="nil"/>
              <w:right w:val="nil"/>
            </w:tcBorders>
            <w:shd w:val="clear" w:color="auto" w:fill="auto"/>
            <w:noWrap/>
            <w:vAlign w:val="bottom"/>
            <w:hideMark/>
          </w:tcPr>
          <w:p w14:paraId="7ABE2D0E"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28</w:t>
            </w:r>
          </w:p>
        </w:tc>
        <w:tc>
          <w:tcPr>
            <w:tcW w:w="1360" w:type="dxa"/>
            <w:tcBorders>
              <w:top w:val="nil"/>
              <w:left w:val="nil"/>
              <w:bottom w:val="nil"/>
              <w:right w:val="nil"/>
            </w:tcBorders>
            <w:shd w:val="clear" w:color="auto" w:fill="auto"/>
            <w:noWrap/>
            <w:vAlign w:val="bottom"/>
            <w:hideMark/>
          </w:tcPr>
          <w:p w14:paraId="6CD35DC1"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3.16%</w:t>
            </w:r>
          </w:p>
        </w:tc>
        <w:tc>
          <w:tcPr>
            <w:tcW w:w="1508" w:type="dxa"/>
            <w:tcBorders>
              <w:top w:val="nil"/>
              <w:left w:val="nil"/>
              <w:bottom w:val="nil"/>
              <w:right w:val="nil"/>
            </w:tcBorders>
            <w:shd w:val="clear" w:color="auto" w:fill="auto"/>
            <w:noWrap/>
            <w:vAlign w:val="bottom"/>
            <w:hideMark/>
          </w:tcPr>
          <w:p w14:paraId="03C0B612"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3.42%</w:t>
            </w:r>
          </w:p>
        </w:tc>
        <w:tc>
          <w:tcPr>
            <w:tcW w:w="1705" w:type="dxa"/>
            <w:tcBorders>
              <w:top w:val="nil"/>
              <w:left w:val="nil"/>
              <w:bottom w:val="nil"/>
              <w:right w:val="single" w:sz="8" w:space="0" w:color="auto"/>
            </w:tcBorders>
            <w:shd w:val="clear" w:color="auto" w:fill="auto"/>
            <w:noWrap/>
            <w:vAlign w:val="bottom"/>
            <w:hideMark/>
          </w:tcPr>
          <w:p w14:paraId="131574E2"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0.15%</w:t>
            </w:r>
          </w:p>
        </w:tc>
      </w:tr>
      <w:tr w:rsidR="007035BA" w:rsidRPr="007035BA" w14:paraId="3E0FB7A6" w14:textId="77777777" w:rsidTr="00837A3E">
        <w:trPr>
          <w:trHeight w:val="259"/>
          <w:jc w:val="center"/>
        </w:trPr>
        <w:tc>
          <w:tcPr>
            <w:tcW w:w="3260" w:type="dxa"/>
            <w:tcBorders>
              <w:top w:val="nil"/>
              <w:left w:val="single" w:sz="8" w:space="0" w:color="auto"/>
              <w:bottom w:val="nil"/>
              <w:right w:val="nil"/>
            </w:tcBorders>
            <w:shd w:val="clear" w:color="auto" w:fill="auto"/>
            <w:noWrap/>
            <w:vAlign w:val="bottom"/>
            <w:hideMark/>
          </w:tcPr>
          <w:p w14:paraId="439C9A1A"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NORTH AMERICAN POWER</w:t>
            </w:r>
          </w:p>
        </w:tc>
        <w:tc>
          <w:tcPr>
            <w:tcW w:w="1160" w:type="dxa"/>
            <w:tcBorders>
              <w:top w:val="nil"/>
              <w:left w:val="nil"/>
              <w:bottom w:val="nil"/>
              <w:right w:val="nil"/>
            </w:tcBorders>
            <w:shd w:val="clear" w:color="auto" w:fill="auto"/>
            <w:noWrap/>
            <w:vAlign w:val="bottom"/>
            <w:hideMark/>
          </w:tcPr>
          <w:p w14:paraId="69D0A6B8"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56,406 </w:t>
            </w:r>
          </w:p>
        </w:tc>
        <w:tc>
          <w:tcPr>
            <w:tcW w:w="1206" w:type="dxa"/>
            <w:tcBorders>
              <w:top w:val="nil"/>
              <w:left w:val="nil"/>
              <w:bottom w:val="nil"/>
              <w:right w:val="nil"/>
            </w:tcBorders>
            <w:shd w:val="clear" w:color="auto" w:fill="auto"/>
            <w:noWrap/>
            <w:vAlign w:val="bottom"/>
            <w:hideMark/>
          </w:tcPr>
          <w:p w14:paraId="0498C16E"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79</w:t>
            </w:r>
          </w:p>
        </w:tc>
        <w:tc>
          <w:tcPr>
            <w:tcW w:w="1360" w:type="dxa"/>
            <w:tcBorders>
              <w:top w:val="nil"/>
              <w:left w:val="nil"/>
              <w:bottom w:val="nil"/>
              <w:right w:val="nil"/>
            </w:tcBorders>
            <w:shd w:val="clear" w:color="auto" w:fill="auto"/>
            <w:noWrap/>
            <w:vAlign w:val="bottom"/>
            <w:hideMark/>
          </w:tcPr>
          <w:p w14:paraId="7341519B"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9.77%</w:t>
            </w:r>
          </w:p>
        </w:tc>
        <w:tc>
          <w:tcPr>
            <w:tcW w:w="1508" w:type="dxa"/>
            <w:tcBorders>
              <w:top w:val="nil"/>
              <w:left w:val="nil"/>
              <w:bottom w:val="nil"/>
              <w:right w:val="nil"/>
            </w:tcBorders>
            <w:shd w:val="clear" w:color="auto" w:fill="auto"/>
            <w:noWrap/>
            <w:vAlign w:val="bottom"/>
            <w:hideMark/>
          </w:tcPr>
          <w:p w14:paraId="2BE48D7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9.66%</w:t>
            </w:r>
          </w:p>
        </w:tc>
        <w:tc>
          <w:tcPr>
            <w:tcW w:w="1705" w:type="dxa"/>
            <w:tcBorders>
              <w:top w:val="nil"/>
              <w:left w:val="nil"/>
              <w:bottom w:val="nil"/>
              <w:right w:val="single" w:sz="8" w:space="0" w:color="auto"/>
            </w:tcBorders>
            <w:shd w:val="clear" w:color="auto" w:fill="auto"/>
            <w:noWrap/>
            <w:vAlign w:val="bottom"/>
            <w:hideMark/>
          </w:tcPr>
          <w:p w14:paraId="7A12CB57"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0.14%</w:t>
            </w:r>
          </w:p>
        </w:tc>
      </w:tr>
      <w:tr w:rsidR="007035BA" w:rsidRPr="007035BA" w14:paraId="421E9365"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7C053CA2"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DIRECT ENERGY</w:t>
            </w:r>
          </w:p>
        </w:tc>
        <w:tc>
          <w:tcPr>
            <w:tcW w:w="1160" w:type="dxa"/>
            <w:tcBorders>
              <w:top w:val="nil"/>
              <w:left w:val="nil"/>
              <w:bottom w:val="nil"/>
              <w:right w:val="nil"/>
            </w:tcBorders>
            <w:shd w:val="clear" w:color="auto" w:fill="auto"/>
            <w:noWrap/>
            <w:vAlign w:val="bottom"/>
            <w:hideMark/>
          </w:tcPr>
          <w:p w14:paraId="6FF4112E"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76,967 </w:t>
            </w:r>
          </w:p>
        </w:tc>
        <w:tc>
          <w:tcPr>
            <w:tcW w:w="1206" w:type="dxa"/>
            <w:tcBorders>
              <w:top w:val="nil"/>
              <w:left w:val="nil"/>
              <w:bottom w:val="nil"/>
              <w:right w:val="nil"/>
            </w:tcBorders>
            <w:shd w:val="clear" w:color="auto" w:fill="auto"/>
            <w:noWrap/>
            <w:vAlign w:val="bottom"/>
            <w:hideMark/>
          </w:tcPr>
          <w:p w14:paraId="0143F525"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77</w:t>
            </w:r>
          </w:p>
        </w:tc>
        <w:tc>
          <w:tcPr>
            <w:tcW w:w="1360" w:type="dxa"/>
            <w:tcBorders>
              <w:top w:val="nil"/>
              <w:left w:val="nil"/>
              <w:bottom w:val="nil"/>
              <w:right w:val="nil"/>
            </w:tcBorders>
            <w:shd w:val="clear" w:color="auto" w:fill="auto"/>
            <w:noWrap/>
            <w:vAlign w:val="bottom"/>
            <w:hideMark/>
          </w:tcPr>
          <w:p w14:paraId="2720416B"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13.33%</w:t>
            </w:r>
          </w:p>
        </w:tc>
        <w:tc>
          <w:tcPr>
            <w:tcW w:w="1508" w:type="dxa"/>
            <w:tcBorders>
              <w:top w:val="nil"/>
              <w:left w:val="nil"/>
              <w:bottom w:val="nil"/>
              <w:right w:val="nil"/>
            </w:tcBorders>
            <w:shd w:val="clear" w:color="auto" w:fill="auto"/>
            <w:noWrap/>
            <w:vAlign w:val="bottom"/>
            <w:hideMark/>
          </w:tcPr>
          <w:p w14:paraId="1B7A6976"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9.41%</w:t>
            </w:r>
          </w:p>
        </w:tc>
        <w:tc>
          <w:tcPr>
            <w:tcW w:w="1705" w:type="dxa"/>
            <w:tcBorders>
              <w:top w:val="nil"/>
              <w:left w:val="nil"/>
              <w:bottom w:val="nil"/>
              <w:right w:val="single" w:sz="8" w:space="0" w:color="auto"/>
            </w:tcBorders>
            <w:shd w:val="clear" w:color="auto" w:fill="auto"/>
            <w:noWrap/>
            <w:vAlign w:val="bottom"/>
            <w:hideMark/>
          </w:tcPr>
          <w:p w14:paraId="422C8CB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0.10%</w:t>
            </w:r>
          </w:p>
        </w:tc>
      </w:tr>
      <w:tr w:rsidR="007035BA" w:rsidRPr="007035BA" w14:paraId="643DF13C"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2A095C1D"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DISCOUNT POWER</w:t>
            </w:r>
          </w:p>
        </w:tc>
        <w:tc>
          <w:tcPr>
            <w:tcW w:w="1160" w:type="dxa"/>
            <w:tcBorders>
              <w:top w:val="nil"/>
              <w:left w:val="nil"/>
              <w:bottom w:val="nil"/>
              <w:right w:val="nil"/>
            </w:tcBorders>
            <w:shd w:val="clear" w:color="auto" w:fill="auto"/>
            <w:noWrap/>
            <w:vAlign w:val="bottom"/>
            <w:hideMark/>
          </w:tcPr>
          <w:p w14:paraId="441F96E2"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32,088 </w:t>
            </w:r>
          </w:p>
        </w:tc>
        <w:tc>
          <w:tcPr>
            <w:tcW w:w="1206" w:type="dxa"/>
            <w:tcBorders>
              <w:top w:val="nil"/>
              <w:left w:val="nil"/>
              <w:bottom w:val="nil"/>
              <w:right w:val="nil"/>
            </w:tcBorders>
            <w:shd w:val="clear" w:color="auto" w:fill="auto"/>
            <w:noWrap/>
            <w:vAlign w:val="bottom"/>
            <w:hideMark/>
          </w:tcPr>
          <w:p w14:paraId="0AEC277C"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29</w:t>
            </w:r>
          </w:p>
        </w:tc>
        <w:tc>
          <w:tcPr>
            <w:tcW w:w="1360" w:type="dxa"/>
            <w:tcBorders>
              <w:top w:val="nil"/>
              <w:left w:val="nil"/>
              <w:bottom w:val="nil"/>
              <w:right w:val="nil"/>
            </w:tcBorders>
            <w:shd w:val="clear" w:color="auto" w:fill="auto"/>
            <w:noWrap/>
            <w:vAlign w:val="bottom"/>
            <w:hideMark/>
          </w:tcPr>
          <w:p w14:paraId="20B3692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5.56%</w:t>
            </w:r>
          </w:p>
        </w:tc>
        <w:tc>
          <w:tcPr>
            <w:tcW w:w="1508" w:type="dxa"/>
            <w:tcBorders>
              <w:top w:val="nil"/>
              <w:left w:val="nil"/>
              <w:bottom w:val="nil"/>
              <w:right w:val="nil"/>
            </w:tcBorders>
            <w:shd w:val="clear" w:color="auto" w:fill="auto"/>
            <w:noWrap/>
            <w:vAlign w:val="bottom"/>
            <w:hideMark/>
          </w:tcPr>
          <w:p w14:paraId="1DD6FF3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3.55%</w:t>
            </w:r>
          </w:p>
        </w:tc>
        <w:tc>
          <w:tcPr>
            <w:tcW w:w="1705" w:type="dxa"/>
            <w:tcBorders>
              <w:top w:val="nil"/>
              <w:left w:val="nil"/>
              <w:bottom w:val="nil"/>
              <w:right w:val="single" w:sz="8" w:space="0" w:color="auto"/>
            </w:tcBorders>
            <w:shd w:val="clear" w:color="auto" w:fill="auto"/>
            <w:noWrap/>
            <w:vAlign w:val="bottom"/>
            <w:hideMark/>
          </w:tcPr>
          <w:p w14:paraId="5C091A2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0.09%</w:t>
            </w:r>
          </w:p>
        </w:tc>
      </w:tr>
      <w:tr w:rsidR="007035BA" w:rsidRPr="007035BA" w14:paraId="60143427"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375C702D"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ENERGY PLUS</w:t>
            </w:r>
          </w:p>
        </w:tc>
        <w:tc>
          <w:tcPr>
            <w:tcW w:w="1160" w:type="dxa"/>
            <w:tcBorders>
              <w:top w:val="nil"/>
              <w:left w:val="nil"/>
              <w:bottom w:val="nil"/>
              <w:right w:val="nil"/>
            </w:tcBorders>
            <w:shd w:val="clear" w:color="auto" w:fill="auto"/>
            <w:noWrap/>
            <w:vAlign w:val="bottom"/>
            <w:hideMark/>
          </w:tcPr>
          <w:p w14:paraId="70483EF8"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19,419 </w:t>
            </w:r>
          </w:p>
        </w:tc>
        <w:tc>
          <w:tcPr>
            <w:tcW w:w="1206" w:type="dxa"/>
            <w:tcBorders>
              <w:top w:val="nil"/>
              <w:left w:val="nil"/>
              <w:bottom w:val="nil"/>
              <w:right w:val="nil"/>
            </w:tcBorders>
            <w:shd w:val="clear" w:color="auto" w:fill="auto"/>
            <w:noWrap/>
            <w:vAlign w:val="bottom"/>
            <w:hideMark/>
          </w:tcPr>
          <w:p w14:paraId="1EA49B05"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16</w:t>
            </w:r>
          </w:p>
        </w:tc>
        <w:tc>
          <w:tcPr>
            <w:tcW w:w="1360" w:type="dxa"/>
            <w:tcBorders>
              <w:top w:val="nil"/>
              <w:left w:val="nil"/>
              <w:bottom w:val="nil"/>
              <w:right w:val="nil"/>
            </w:tcBorders>
            <w:shd w:val="clear" w:color="auto" w:fill="auto"/>
            <w:noWrap/>
            <w:vAlign w:val="bottom"/>
            <w:hideMark/>
          </w:tcPr>
          <w:p w14:paraId="2BDBCA16"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3.36%</w:t>
            </w:r>
          </w:p>
        </w:tc>
        <w:tc>
          <w:tcPr>
            <w:tcW w:w="1508" w:type="dxa"/>
            <w:tcBorders>
              <w:top w:val="nil"/>
              <w:left w:val="nil"/>
              <w:bottom w:val="nil"/>
              <w:right w:val="nil"/>
            </w:tcBorders>
            <w:shd w:val="clear" w:color="auto" w:fill="auto"/>
            <w:noWrap/>
            <w:vAlign w:val="bottom"/>
            <w:hideMark/>
          </w:tcPr>
          <w:p w14:paraId="29E47B78"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1.96%</w:t>
            </w:r>
          </w:p>
        </w:tc>
        <w:tc>
          <w:tcPr>
            <w:tcW w:w="1705" w:type="dxa"/>
            <w:tcBorders>
              <w:top w:val="nil"/>
              <w:left w:val="nil"/>
              <w:bottom w:val="nil"/>
              <w:right w:val="single" w:sz="8" w:space="0" w:color="auto"/>
            </w:tcBorders>
            <w:shd w:val="clear" w:color="auto" w:fill="auto"/>
            <w:noWrap/>
            <w:vAlign w:val="bottom"/>
            <w:hideMark/>
          </w:tcPr>
          <w:p w14:paraId="3D617D64"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0.08%</w:t>
            </w:r>
          </w:p>
        </w:tc>
      </w:tr>
      <w:tr w:rsidR="007035BA" w:rsidRPr="007035BA" w14:paraId="4E21434D"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0221994F"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NEXTERA ENERGY</w:t>
            </w:r>
          </w:p>
        </w:tc>
        <w:tc>
          <w:tcPr>
            <w:tcW w:w="1160" w:type="dxa"/>
            <w:tcBorders>
              <w:top w:val="nil"/>
              <w:left w:val="nil"/>
              <w:bottom w:val="nil"/>
              <w:right w:val="nil"/>
            </w:tcBorders>
            <w:shd w:val="clear" w:color="auto" w:fill="auto"/>
            <w:noWrap/>
            <w:vAlign w:val="bottom"/>
            <w:hideMark/>
          </w:tcPr>
          <w:p w14:paraId="5E0316B5"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2,617 </w:t>
            </w:r>
          </w:p>
        </w:tc>
        <w:tc>
          <w:tcPr>
            <w:tcW w:w="1206" w:type="dxa"/>
            <w:tcBorders>
              <w:top w:val="nil"/>
              <w:left w:val="nil"/>
              <w:bottom w:val="nil"/>
              <w:right w:val="nil"/>
            </w:tcBorders>
            <w:shd w:val="clear" w:color="auto" w:fill="auto"/>
            <w:noWrap/>
            <w:vAlign w:val="bottom"/>
            <w:hideMark/>
          </w:tcPr>
          <w:p w14:paraId="378B01A3"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w:t>
            </w:r>
          </w:p>
        </w:tc>
        <w:tc>
          <w:tcPr>
            <w:tcW w:w="1360" w:type="dxa"/>
            <w:tcBorders>
              <w:top w:val="nil"/>
              <w:left w:val="nil"/>
              <w:bottom w:val="nil"/>
              <w:right w:val="nil"/>
            </w:tcBorders>
            <w:shd w:val="clear" w:color="auto" w:fill="auto"/>
            <w:noWrap/>
            <w:vAlign w:val="bottom"/>
            <w:hideMark/>
          </w:tcPr>
          <w:p w14:paraId="6ACA999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0.45%</w:t>
            </w:r>
          </w:p>
        </w:tc>
        <w:tc>
          <w:tcPr>
            <w:tcW w:w="1508" w:type="dxa"/>
            <w:tcBorders>
              <w:top w:val="nil"/>
              <w:left w:val="nil"/>
              <w:bottom w:val="nil"/>
              <w:right w:val="nil"/>
            </w:tcBorders>
            <w:shd w:val="clear" w:color="auto" w:fill="auto"/>
            <w:noWrap/>
            <w:vAlign w:val="bottom"/>
            <w:hideMark/>
          </w:tcPr>
          <w:p w14:paraId="797210D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0.24%</w:t>
            </w:r>
          </w:p>
        </w:tc>
        <w:tc>
          <w:tcPr>
            <w:tcW w:w="1705" w:type="dxa"/>
            <w:tcBorders>
              <w:top w:val="nil"/>
              <w:left w:val="nil"/>
              <w:bottom w:val="nil"/>
              <w:right w:val="single" w:sz="8" w:space="0" w:color="auto"/>
            </w:tcBorders>
            <w:shd w:val="clear" w:color="auto" w:fill="auto"/>
            <w:noWrap/>
            <w:vAlign w:val="bottom"/>
            <w:hideMark/>
          </w:tcPr>
          <w:p w14:paraId="27FDC95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0.08%</w:t>
            </w:r>
          </w:p>
        </w:tc>
      </w:tr>
      <w:tr w:rsidR="007035BA" w:rsidRPr="007035BA" w14:paraId="036BD1D0"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6D1FCC1E"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VERDE ENERGY</w:t>
            </w:r>
          </w:p>
        </w:tc>
        <w:tc>
          <w:tcPr>
            <w:tcW w:w="1160" w:type="dxa"/>
            <w:tcBorders>
              <w:top w:val="nil"/>
              <w:left w:val="nil"/>
              <w:bottom w:val="nil"/>
              <w:right w:val="nil"/>
            </w:tcBorders>
            <w:shd w:val="clear" w:color="auto" w:fill="auto"/>
            <w:noWrap/>
            <w:vAlign w:val="bottom"/>
            <w:hideMark/>
          </w:tcPr>
          <w:p w14:paraId="77E6915B"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32,706 </w:t>
            </w:r>
          </w:p>
        </w:tc>
        <w:tc>
          <w:tcPr>
            <w:tcW w:w="1206" w:type="dxa"/>
            <w:tcBorders>
              <w:top w:val="nil"/>
              <w:left w:val="nil"/>
              <w:bottom w:val="nil"/>
              <w:right w:val="nil"/>
            </w:tcBorders>
            <w:shd w:val="clear" w:color="auto" w:fill="auto"/>
            <w:noWrap/>
            <w:vAlign w:val="bottom"/>
            <w:hideMark/>
          </w:tcPr>
          <w:p w14:paraId="6363570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19</w:t>
            </w:r>
          </w:p>
        </w:tc>
        <w:tc>
          <w:tcPr>
            <w:tcW w:w="1360" w:type="dxa"/>
            <w:tcBorders>
              <w:top w:val="nil"/>
              <w:left w:val="nil"/>
              <w:bottom w:val="nil"/>
              <w:right w:val="nil"/>
            </w:tcBorders>
            <w:shd w:val="clear" w:color="auto" w:fill="auto"/>
            <w:noWrap/>
            <w:vAlign w:val="bottom"/>
            <w:hideMark/>
          </w:tcPr>
          <w:p w14:paraId="750DA072"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5.67%</w:t>
            </w:r>
          </w:p>
        </w:tc>
        <w:tc>
          <w:tcPr>
            <w:tcW w:w="1508" w:type="dxa"/>
            <w:tcBorders>
              <w:top w:val="nil"/>
              <w:left w:val="nil"/>
              <w:bottom w:val="nil"/>
              <w:right w:val="nil"/>
            </w:tcBorders>
            <w:shd w:val="clear" w:color="auto" w:fill="auto"/>
            <w:noWrap/>
            <w:vAlign w:val="bottom"/>
            <w:hideMark/>
          </w:tcPr>
          <w:p w14:paraId="26D1228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2.32%</w:t>
            </w:r>
          </w:p>
        </w:tc>
        <w:tc>
          <w:tcPr>
            <w:tcW w:w="1705" w:type="dxa"/>
            <w:tcBorders>
              <w:top w:val="nil"/>
              <w:left w:val="nil"/>
              <w:bottom w:val="nil"/>
              <w:right w:val="single" w:sz="8" w:space="0" w:color="auto"/>
            </w:tcBorders>
            <w:shd w:val="clear" w:color="auto" w:fill="auto"/>
            <w:noWrap/>
            <w:vAlign w:val="bottom"/>
            <w:hideMark/>
          </w:tcPr>
          <w:p w14:paraId="4025C10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0.06%</w:t>
            </w:r>
          </w:p>
        </w:tc>
      </w:tr>
      <w:tr w:rsidR="007035BA" w:rsidRPr="007035BA" w14:paraId="5474A598" w14:textId="77777777" w:rsidTr="00837A3E">
        <w:trPr>
          <w:trHeight w:val="245"/>
          <w:jc w:val="center"/>
        </w:trPr>
        <w:tc>
          <w:tcPr>
            <w:tcW w:w="3260" w:type="dxa"/>
            <w:tcBorders>
              <w:top w:val="nil"/>
              <w:left w:val="single" w:sz="8" w:space="0" w:color="auto"/>
              <w:bottom w:val="nil"/>
              <w:right w:val="nil"/>
            </w:tcBorders>
            <w:shd w:val="clear" w:color="auto" w:fill="auto"/>
            <w:noWrap/>
            <w:vAlign w:val="bottom"/>
            <w:hideMark/>
          </w:tcPr>
          <w:p w14:paraId="5A5CD3FB"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XOOM</w:t>
            </w:r>
          </w:p>
        </w:tc>
        <w:tc>
          <w:tcPr>
            <w:tcW w:w="1160" w:type="dxa"/>
            <w:tcBorders>
              <w:top w:val="nil"/>
              <w:left w:val="nil"/>
              <w:bottom w:val="nil"/>
              <w:right w:val="nil"/>
            </w:tcBorders>
            <w:shd w:val="clear" w:color="auto" w:fill="auto"/>
            <w:noWrap/>
            <w:vAlign w:val="bottom"/>
            <w:hideMark/>
          </w:tcPr>
          <w:p w14:paraId="363D1F99"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7,053 </w:t>
            </w:r>
          </w:p>
        </w:tc>
        <w:tc>
          <w:tcPr>
            <w:tcW w:w="1206" w:type="dxa"/>
            <w:tcBorders>
              <w:top w:val="nil"/>
              <w:left w:val="nil"/>
              <w:bottom w:val="nil"/>
              <w:right w:val="nil"/>
            </w:tcBorders>
            <w:shd w:val="clear" w:color="auto" w:fill="auto"/>
            <w:noWrap/>
            <w:vAlign w:val="bottom"/>
            <w:hideMark/>
          </w:tcPr>
          <w:p w14:paraId="61F1FB22"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4</w:t>
            </w:r>
          </w:p>
        </w:tc>
        <w:tc>
          <w:tcPr>
            <w:tcW w:w="1360" w:type="dxa"/>
            <w:tcBorders>
              <w:top w:val="nil"/>
              <w:left w:val="nil"/>
              <w:bottom w:val="nil"/>
              <w:right w:val="nil"/>
            </w:tcBorders>
            <w:shd w:val="clear" w:color="auto" w:fill="auto"/>
            <w:noWrap/>
            <w:vAlign w:val="bottom"/>
            <w:hideMark/>
          </w:tcPr>
          <w:p w14:paraId="1B3C3D4B"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1.22%</w:t>
            </w:r>
          </w:p>
        </w:tc>
        <w:tc>
          <w:tcPr>
            <w:tcW w:w="1508" w:type="dxa"/>
            <w:tcBorders>
              <w:top w:val="nil"/>
              <w:left w:val="nil"/>
              <w:bottom w:val="nil"/>
              <w:right w:val="nil"/>
            </w:tcBorders>
            <w:shd w:val="clear" w:color="auto" w:fill="auto"/>
            <w:noWrap/>
            <w:vAlign w:val="bottom"/>
            <w:hideMark/>
          </w:tcPr>
          <w:p w14:paraId="710815F9"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0.49%</w:t>
            </w:r>
          </w:p>
        </w:tc>
        <w:tc>
          <w:tcPr>
            <w:tcW w:w="1705" w:type="dxa"/>
            <w:tcBorders>
              <w:top w:val="nil"/>
              <w:left w:val="nil"/>
              <w:bottom w:val="nil"/>
              <w:right w:val="single" w:sz="8" w:space="0" w:color="auto"/>
            </w:tcBorders>
            <w:shd w:val="clear" w:color="auto" w:fill="auto"/>
            <w:noWrap/>
            <w:vAlign w:val="bottom"/>
            <w:hideMark/>
          </w:tcPr>
          <w:p w14:paraId="5E3FE658"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0.06%</w:t>
            </w:r>
          </w:p>
        </w:tc>
      </w:tr>
      <w:tr w:rsidR="007035BA" w:rsidRPr="007035BA" w14:paraId="441DCC50"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1A019A14"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DOMINION</w:t>
            </w:r>
          </w:p>
        </w:tc>
        <w:tc>
          <w:tcPr>
            <w:tcW w:w="1160" w:type="dxa"/>
            <w:tcBorders>
              <w:top w:val="nil"/>
              <w:left w:val="nil"/>
              <w:bottom w:val="nil"/>
              <w:right w:val="nil"/>
            </w:tcBorders>
            <w:shd w:val="clear" w:color="auto" w:fill="auto"/>
            <w:noWrap/>
            <w:vAlign w:val="bottom"/>
            <w:hideMark/>
          </w:tcPr>
          <w:p w14:paraId="4A80AD48"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57,265 </w:t>
            </w:r>
          </w:p>
        </w:tc>
        <w:tc>
          <w:tcPr>
            <w:tcW w:w="1206" w:type="dxa"/>
            <w:tcBorders>
              <w:top w:val="nil"/>
              <w:left w:val="nil"/>
              <w:bottom w:val="nil"/>
              <w:right w:val="nil"/>
            </w:tcBorders>
            <w:shd w:val="clear" w:color="auto" w:fill="auto"/>
            <w:noWrap/>
            <w:vAlign w:val="bottom"/>
            <w:hideMark/>
          </w:tcPr>
          <w:p w14:paraId="45848FF4"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29</w:t>
            </w:r>
          </w:p>
        </w:tc>
        <w:tc>
          <w:tcPr>
            <w:tcW w:w="1360" w:type="dxa"/>
            <w:tcBorders>
              <w:top w:val="nil"/>
              <w:left w:val="nil"/>
              <w:bottom w:val="nil"/>
              <w:right w:val="nil"/>
            </w:tcBorders>
            <w:shd w:val="clear" w:color="auto" w:fill="auto"/>
            <w:noWrap/>
            <w:vAlign w:val="bottom"/>
            <w:hideMark/>
          </w:tcPr>
          <w:p w14:paraId="09935398"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9.92%</w:t>
            </w:r>
          </w:p>
        </w:tc>
        <w:tc>
          <w:tcPr>
            <w:tcW w:w="1508" w:type="dxa"/>
            <w:tcBorders>
              <w:top w:val="nil"/>
              <w:left w:val="nil"/>
              <w:bottom w:val="nil"/>
              <w:right w:val="nil"/>
            </w:tcBorders>
            <w:shd w:val="clear" w:color="auto" w:fill="auto"/>
            <w:noWrap/>
            <w:vAlign w:val="bottom"/>
            <w:hideMark/>
          </w:tcPr>
          <w:p w14:paraId="73FA9A6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3.55%</w:t>
            </w:r>
          </w:p>
        </w:tc>
        <w:tc>
          <w:tcPr>
            <w:tcW w:w="1705" w:type="dxa"/>
            <w:tcBorders>
              <w:top w:val="nil"/>
              <w:left w:val="nil"/>
              <w:bottom w:val="nil"/>
              <w:right w:val="single" w:sz="8" w:space="0" w:color="auto"/>
            </w:tcBorders>
            <w:shd w:val="clear" w:color="auto" w:fill="auto"/>
            <w:noWrap/>
            <w:vAlign w:val="bottom"/>
            <w:hideMark/>
          </w:tcPr>
          <w:p w14:paraId="700327E1"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0.05%</w:t>
            </w:r>
          </w:p>
        </w:tc>
      </w:tr>
      <w:tr w:rsidR="007035BA" w:rsidRPr="007035BA" w14:paraId="2982EB8E"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4633F05B"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AEQUITAS</w:t>
            </w:r>
          </w:p>
        </w:tc>
        <w:tc>
          <w:tcPr>
            <w:tcW w:w="1160" w:type="dxa"/>
            <w:tcBorders>
              <w:top w:val="nil"/>
              <w:left w:val="nil"/>
              <w:bottom w:val="nil"/>
              <w:right w:val="nil"/>
            </w:tcBorders>
            <w:shd w:val="clear" w:color="auto" w:fill="auto"/>
            <w:noWrap/>
            <w:vAlign w:val="bottom"/>
            <w:hideMark/>
          </w:tcPr>
          <w:p w14:paraId="51989DFC"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2,523 </w:t>
            </w:r>
          </w:p>
        </w:tc>
        <w:tc>
          <w:tcPr>
            <w:tcW w:w="1206" w:type="dxa"/>
            <w:tcBorders>
              <w:top w:val="nil"/>
              <w:left w:val="nil"/>
              <w:bottom w:val="nil"/>
              <w:right w:val="nil"/>
            </w:tcBorders>
            <w:shd w:val="clear" w:color="auto" w:fill="auto"/>
            <w:noWrap/>
            <w:vAlign w:val="bottom"/>
            <w:hideMark/>
          </w:tcPr>
          <w:p w14:paraId="66F1BEF6"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w:t>
            </w:r>
          </w:p>
        </w:tc>
        <w:tc>
          <w:tcPr>
            <w:tcW w:w="1360" w:type="dxa"/>
            <w:tcBorders>
              <w:top w:val="nil"/>
              <w:left w:val="nil"/>
              <w:bottom w:val="nil"/>
              <w:right w:val="nil"/>
            </w:tcBorders>
            <w:shd w:val="clear" w:color="auto" w:fill="auto"/>
            <w:noWrap/>
            <w:vAlign w:val="bottom"/>
            <w:hideMark/>
          </w:tcPr>
          <w:p w14:paraId="6337CB37"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0.44%</w:t>
            </w:r>
          </w:p>
        </w:tc>
        <w:tc>
          <w:tcPr>
            <w:tcW w:w="1508" w:type="dxa"/>
            <w:tcBorders>
              <w:top w:val="nil"/>
              <w:left w:val="nil"/>
              <w:bottom w:val="nil"/>
              <w:right w:val="nil"/>
            </w:tcBorders>
            <w:shd w:val="clear" w:color="auto" w:fill="auto"/>
            <w:noWrap/>
            <w:vAlign w:val="bottom"/>
            <w:hideMark/>
          </w:tcPr>
          <w:p w14:paraId="6E7BF3BD"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0.12%</w:t>
            </w:r>
          </w:p>
        </w:tc>
        <w:tc>
          <w:tcPr>
            <w:tcW w:w="1705" w:type="dxa"/>
            <w:tcBorders>
              <w:top w:val="nil"/>
              <w:left w:val="nil"/>
              <w:bottom w:val="nil"/>
              <w:right w:val="single" w:sz="8" w:space="0" w:color="auto"/>
            </w:tcBorders>
            <w:shd w:val="clear" w:color="auto" w:fill="auto"/>
            <w:noWrap/>
            <w:vAlign w:val="bottom"/>
            <w:hideMark/>
          </w:tcPr>
          <w:p w14:paraId="2442960B"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0.04%</w:t>
            </w:r>
          </w:p>
        </w:tc>
      </w:tr>
      <w:tr w:rsidR="007035BA" w:rsidRPr="007035BA" w14:paraId="541338B9"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1E936BF9"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TOWN SQUARE ENERGY</w:t>
            </w:r>
          </w:p>
        </w:tc>
        <w:tc>
          <w:tcPr>
            <w:tcW w:w="1160" w:type="dxa"/>
            <w:tcBorders>
              <w:top w:val="nil"/>
              <w:left w:val="nil"/>
              <w:bottom w:val="nil"/>
              <w:right w:val="nil"/>
            </w:tcBorders>
            <w:shd w:val="clear" w:color="auto" w:fill="auto"/>
            <w:noWrap/>
            <w:vAlign w:val="bottom"/>
            <w:hideMark/>
          </w:tcPr>
          <w:p w14:paraId="18A1EA94"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9,747 </w:t>
            </w:r>
          </w:p>
        </w:tc>
        <w:tc>
          <w:tcPr>
            <w:tcW w:w="1206" w:type="dxa"/>
            <w:tcBorders>
              <w:top w:val="nil"/>
              <w:left w:val="nil"/>
              <w:bottom w:val="nil"/>
              <w:right w:val="nil"/>
            </w:tcBorders>
            <w:shd w:val="clear" w:color="auto" w:fill="auto"/>
            <w:noWrap/>
            <w:vAlign w:val="bottom"/>
            <w:hideMark/>
          </w:tcPr>
          <w:p w14:paraId="16B0EF4F"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3</w:t>
            </w:r>
          </w:p>
        </w:tc>
        <w:tc>
          <w:tcPr>
            <w:tcW w:w="1360" w:type="dxa"/>
            <w:tcBorders>
              <w:top w:val="nil"/>
              <w:left w:val="nil"/>
              <w:bottom w:val="nil"/>
              <w:right w:val="nil"/>
            </w:tcBorders>
            <w:shd w:val="clear" w:color="auto" w:fill="auto"/>
            <w:noWrap/>
            <w:vAlign w:val="bottom"/>
            <w:hideMark/>
          </w:tcPr>
          <w:p w14:paraId="1CD95E6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1.69%</w:t>
            </w:r>
          </w:p>
        </w:tc>
        <w:tc>
          <w:tcPr>
            <w:tcW w:w="1508" w:type="dxa"/>
            <w:tcBorders>
              <w:top w:val="nil"/>
              <w:left w:val="nil"/>
              <w:bottom w:val="nil"/>
              <w:right w:val="nil"/>
            </w:tcBorders>
            <w:shd w:val="clear" w:color="auto" w:fill="auto"/>
            <w:noWrap/>
            <w:vAlign w:val="bottom"/>
            <w:hideMark/>
          </w:tcPr>
          <w:p w14:paraId="5A0656F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0.37%</w:t>
            </w:r>
          </w:p>
        </w:tc>
        <w:tc>
          <w:tcPr>
            <w:tcW w:w="1705" w:type="dxa"/>
            <w:tcBorders>
              <w:top w:val="nil"/>
              <w:left w:val="nil"/>
              <w:bottom w:val="nil"/>
              <w:right w:val="single" w:sz="8" w:space="0" w:color="auto"/>
            </w:tcBorders>
            <w:shd w:val="clear" w:color="auto" w:fill="auto"/>
            <w:noWrap/>
            <w:vAlign w:val="bottom"/>
            <w:hideMark/>
          </w:tcPr>
          <w:p w14:paraId="40428C75"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0.03%</w:t>
            </w:r>
          </w:p>
        </w:tc>
      </w:tr>
      <w:tr w:rsidR="007035BA" w:rsidRPr="007035BA" w14:paraId="755E58D1"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0073F158"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SPARK ENERGY</w:t>
            </w:r>
          </w:p>
        </w:tc>
        <w:tc>
          <w:tcPr>
            <w:tcW w:w="1160" w:type="dxa"/>
            <w:tcBorders>
              <w:top w:val="nil"/>
              <w:left w:val="nil"/>
              <w:bottom w:val="nil"/>
              <w:right w:val="nil"/>
            </w:tcBorders>
            <w:shd w:val="clear" w:color="auto" w:fill="auto"/>
            <w:noWrap/>
            <w:vAlign w:val="bottom"/>
            <w:hideMark/>
          </w:tcPr>
          <w:p w14:paraId="7AFE722A"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6,817 </w:t>
            </w:r>
          </w:p>
        </w:tc>
        <w:tc>
          <w:tcPr>
            <w:tcW w:w="1206" w:type="dxa"/>
            <w:tcBorders>
              <w:top w:val="nil"/>
              <w:left w:val="nil"/>
              <w:bottom w:val="nil"/>
              <w:right w:val="nil"/>
            </w:tcBorders>
            <w:shd w:val="clear" w:color="auto" w:fill="auto"/>
            <w:noWrap/>
            <w:vAlign w:val="bottom"/>
            <w:hideMark/>
          </w:tcPr>
          <w:p w14:paraId="0E6EB41E"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w:t>
            </w:r>
          </w:p>
        </w:tc>
        <w:tc>
          <w:tcPr>
            <w:tcW w:w="1360" w:type="dxa"/>
            <w:tcBorders>
              <w:top w:val="nil"/>
              <w:left w:val="nil"/>
              <w:bottom w:val="nil"/>
              <w:right w:val="nil"/>
            </w:tcBorders>
            <w:shd w:val="clear" w:color="auto" w:fill="auto"/>
            <w:noWrap/>
            <w:vAlign w:val="bottom"/>
            <w:hideMark/>
          </w:tcPr>
          <w:p w14:paraId="48008F7B"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1.18%</w:t>
            </w:r>
          </w:p>
        </w:tc>
        <w:tc>
          <w:tcPr>
            <w:tcW w:w="1508" w:type="dxa"/>
            <w:tcBorders>
              <w:top w:val="nil"/>
              <w:left w:val="nil"/>
              <w:bottom w:val="nil"/>
              <w:right w:val="nil"/>
            </w:tcBorders>
            <w:shd w:val="clear" w:color="auto" w:fill="auto"/>
            <w:noWrap/>
            <w:vAlign w:val="bottom"/>
            <w:hideMark/>
          </w:tcPr>
          <w:p w14:paraId="588D3E72"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0.24%</w:t>
            </w:r>
          </w:p>
        </w:tc>
        <w:tc>
          <w:tcPr>
            <w:tcW w:w="1705" w:type="dxa"/>
            <w:tcBorders>
              <w:top w:val="nil"/>
              <w:left w:val="nil"/>
              <w:bottom w:val="nil"/>
              <w:right w:val="single" w:sz="8" w:space="0" w:color="auto"/>
            </w:tcBorders>
            <w:shd w:val="clear" w:color="auto" w:fill="auto"/>
            <w:noWrap/>
            <w:vAlign w:val="bottom"/>
            <w:hideMark/>
          </w:tcPr>
          <w:p w14:paraId="3DA1704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0.03%</w:t>
            </w:r>
          </w:p>
        </w:tc>
      </w:tr>
      <w:tr w:rsidR="007035BA" w:rsidRPr="007035BA" w14:paraId="0E905E8E"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3F824D20"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AMBIT</w:t>
            </w:r>
          </w:p>
        </w:tc>
        <w:tc>
          <w:tcPr>
            <w:tcW w:w="1160" w:type="dxa"/>
            <w:tcBorders>
              <w:top w:val="nil"/>
              <w:left w:val="nil"/>
              <w:bottom w:val="nil"/>
              <w:right w:val="nil"/>
            </w:tcBorders>
            <w:shd w:val="clear" w:color="auto" w:fill="auto"/>
            <w:noWrap/>
            <w:vAlign w:val="bottom"/>
            <w:hideMark/>
          </w:tcPr>
          <w:p w14:paraId="04D5A091"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24,644 </w:t>
            </w:r>
          </w:p>
        </w:tc>
        <w:tc>
          <w:tcPr>
            <w:tcW w:w="1206" w:type="dxa"/>
            <w:tcBorders>
              <w:top w:val="nil"/>
              <w:left w:val="nil"/>
              <w:bottom w:val="nil"/>
              <w:right w:val="nil"/>
            </w:tcBorders>
            <w:shd w:val="clear" w:color="auto" w:fill="auto"/>
            <w:noWrap/>
            <w:vAlign w:val="bottom"/>
            <w:hideMark/>
          </w:tcPr>
          <w:p w14:paraId="127D8949"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6</w:t>
            </w:r>
          </w:p>
        </w:tc>
        <w:tc>
          <w:tcPr>
            <w:tcW w:w="1360" w:type="dxa"/>
            <w:tcBorders>
              <w:top w:val="nil"/>
              <w:left w:val="nil"/>
              <w:bottom w:val="nil"/>
              <w:right w:val="nil"/>
            </w:tcBorders>
            <w:shd w:val="clear" w:color="auto" w:fill="auto"/>
            <w:noWrap/>
            <w:vAlign w:val="bottom"/>
            <w:hideMark/>
          </w:tcPr>
          <w:p w14:paraId="7508683E"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4.27%</w:t>
            </w:r>
          </w:p>
        </w:tc>
        <w:tc>
          <w:tcPr>
            <w:tcW w:w="1508" w:type="dxa"/>
            <w:tcBorders>
              <w:top w:val="nil"/>
              <w:left w:val="nil"/>
              <w:bottom w:val="nil"/>
              <w:right w:val="nil"/>
            </w:tcBorders>
            <w:shd w:val="clear" w:color="auto" w:fill="auto"/>
            <w:noWrap/>
            <w:vAlign w:val="bottom"/>
            <w:hideMark/>
          </w:tcPr>
          <w:p w14:paraId="5E94119A"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0.73%</w:t>
            </w:r>
          </w:p>
        </w:tc>
        <w:tc>
          <w:tcPr>
            <w:tcW w:w="1705" w:type="dxa"/>
            <w:tcBorders>
              <w:top w:val="nil"/>
              <w:left w:val="nil"/>
              <w:bottom w:val="nil"/>
              <w:right w:val="single" w:sz="8" w:space="0" w:color="auto"/>
            </w:tcBorders>
            <w:shd w:val="clear" w:color="auto" w:fill="auto"/>
            <w:noWrap/>
            <w:vAlign w:val="bottom"/>
            <w:hideMark/>
          </w:tcPr>
          <w:p w14:paraId="71741D2E"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0.02%</w:t>
            </w:r>
          </w:p>
        </w:tc>
      </w:tr>
      <w:tr w:rsidR="007035BA" w:rsidRPr="007035BA" w14:paraId="67534E8B"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53883657"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CONSTELLATION NEW ENERGY</w:t>
            </w:r>
          </w:p>
        </w:tc>
        <w:tc>
          <w:tcPr>
            <w:tcW w:w="1160" w:type="dxa"/>
            <w:tcBorders>
              <w:top w:val="nil"/>
              <w:left w:val="nil"/>
              <w:bottom w:val="nil"/>
              <w:right w:val="nil"/>
            </w:tcBorders>
            <w:shd w:val="clear" w:color="auto" w:fill="auto"/>
            <w:noWrap/>
            <w:vAlign w:val="bottom"/>
            <w:hideMark/>
          </w:tcPr>
          <w:p w14:paraId="2B998FC2"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18,306 </w:t>
            </w:r>
          </w:p>
        </w:tc>
        <w:tc>
          <w:tcPr>
            <w:tcW w:w="1206" w:type="dxa"/>
            <w:tcBorders>
              <w:top w:val="nil"/>
              <w:left w:val="nil"/>
              <w:bottom w:val="nil"/>
              <w:right w:val="nil"/>
            </w:tcBorders>
            <w:shd w:val="clear" w:color="auto" w:fill="auto"/>
            <w:noWrap/>
            <w:vAlign w:val="bottom"/>
            <w:hideMark/>
          </w:tcPr>
          <w:p w14:paraId="3D2CCB63"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4</w:t>
            </w:r>
          </w:p>
        </w:tc>
        <w:tc>
          <w:tcPr>
            <w:tcW w:w="1360" w:type="dxa"/>
            <w:tcBorders>
              <w:top w:val="nil"/>
              <w:left w:val="nil"/>
              <w:bottom w:val="nil"/>
              <w:right w:val="nil"/>
            </w:tcBorders>
            <w:shd w:val="clear" w:color="auto" w:fill="auto"/>
            <w:noWrap/>
            <w:vAlign w:val="bottom"/>
            <w:hideMark/>
          </w:tcPr>
          <w:p w14:paraId="7A835A7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3.17%</w:t>
            </w:r>
          </w:p>
        </w:tc>
        <w:tc>
          <w:tcPr>
            <w:tcW w:w="1508" w:type="dxa"/>
            <w:tcBorders>
              <w:top w:val="nil"/>
              <w:left w:val="nil"/>
              <w:bottom w:val="nil"/>
              <w:right w:val="nil"/>
            </w:tcBorders>
            <w:shd w:val="clear" w:color="auto" w:fill="auto"/>
            <w:noWrap/>
            <w:vAlign w:val="bottom"/>
            <w:hideMark/>
          </w:tcPr>
          <w:p w14:paraId="1C33A98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0.49%</w:t>
            </w:r>
          </w:p>
        </w:tc>
        <w:tc>
          <w:tcPr>
            <w:tcW w:w="1705" w:type="dxa"/>
            <w:tcBorders>
              <w:top w:val="nil"/>
              <w:left w:val="nil"/>
              <w:bottom w:val="nil"/>
              <w:right w:val="single" w:sz="8" w:space="0" w:color="auto"/>
            </w:tcBorders>
            <w:shd w:val="clear" w:color="auto" w:fill="auto"/>
            <w:noWrap/>
            <w:vAlign w:val="bottom"/>
            <w:hideMark/>
          </w:tcPr>
          <w:p w14:paraId="04FC8A53"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0.02%</w:t>
            </w:r>
          </w:p>
        </w:tc>
      </w:tr>
      <w:tr w:rsidR="007035BA" w:rsidRPr="007035BA" w14:paraId="788F22B5"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01F913C6"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HIKO</w:t>
            </w:r>
          </w:p>
        </w:tc>
        <w:tc>
          <w:tcPr>
            <w:tcW w:w="1160" w:type="dxa"/>
            <w:tcBorders>
              <w:top w:val="nil"/>
              <w:left w:val="nil"/>
              <w:bottom w:val="nil"/>
              <w:right w:val="nil"/>
            </w:tcBorders>
            <w:shd w:val="clear" w:color="auto" w:fill="auto"/>
            <w:noWrap/>
            <w:vAlign w:val="bottom"/>
            <w:hideMark/>
          </w:tcPr>
          <w:p w14:paraId="4B784E46"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9,963 </w:t>
            </w:r>
          </w:p>
        </w:tc>
        <w:tc>
          <w:tcPr>
            <w:tcW w:w="1206" w:type="dxa"/>
            <w:tcBorders>
              <w:top w:val="nil"/>
              <w:left w:val="nil"/>
              <w:bottom w:val="nil"/>
              <w:right w:val="nil"/>
            </w:tcBorders>
            <w:shd w:val="clear" w:color="auto" w:fill="auto"/>
            <w:noWrap/>
            <w:vAlign w:val="bottom"/>
            <w:hideMark/>
          </w:tcPr>
          <w:p w14:paraId="615FA7E0"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2</w:t>
            </w:r>
          </w:p>
        </w:tc>
        <w:tc>
          <w:tcPr>
            <w:tcW w:w="1360" w:type="dxa"/>
            <w:tcBorders>
              <w:top w:val="nil"/>
              <w:left w:val="nil"/>
              <w:bottom w:val="nil"/>
              <w:right w:val="nil"/>
            </w:tcBorders>
            <w:shd w:val="clear" w:color="auto" w:fill="auto"/>
            <w:noWrap/>
            <w:vAlign w:val="bottom"/>
            <w:hideMark/>
          </w:tcPr>
          <w:p w14:paraId="2DB8220E"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1.73%</w:t>
            </w:r>
          </w:p>
        </w:tc>
        <w:tc>
          <w:tcPr>
            <w:tcW w:w="1508" w:type="dxa"/>
            <w:tcBorders>
              <w:top w:val="nil"/>
              <w:left w:val="nil"/>
              <w:bottom w:val="nil"/>
              <w:right w:val="nil"/>
            </w:tcBorders>
            <w:shd w:val="clear" w:color="auto" w:fill="auto"/>
            <w:noWrap/>
            <w:vAlign w:val="bottom"/>
            <w:hideMark/>
          </w:tcPr>
          <w:p w14:paraId="0BFF3939"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0.24%</w:t>
            </w:r>
          </w:p>
        </w:tc>
        <w:tc>
          <w:tcPr>
            <w:tcW w:w="1705" w:type="dxa"/>
            <w:tcBorders>
              <w:top w:val="nil"/>
              <w:left w:val="nil"/>
              <w:bottom w:val="nil"/>
              <w:right w:val="single" w:sz="8" w:space="0" w:color="auto"/>
            </w:tcBorders>
            <w:shd w:val="clear" w:color="auto" w:fill="auto"/>
            <w:noWrap/>
            <w:vAlign w:val="bottom"/>
            <w:hideMark/>
          </w:tcPr>
          <w:p w14:paraId="5942F3C8"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0.02%</w:t>
            </w:r>
          </w:p>
        </w:tc>
      </w:tr>
      <w:tr w:rsidR="007035BA" w:rsidRPr="007035BA" w14:paraId="55F9CE59"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26337EE7"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CONSOL EDISON SOL</w:t>
            </w:r>
          </w:p>
        </w:tc>
        <w:tc>
          <w:tcPr>
            <w:tcW w:w="1160" w:type="dxa"/>
            <w:tcBorders>
              <w:top w:val="nil"/>
              <w:left w:val="nil"/>
              <w:bottom w:val="nil"/>
              <w:right w:val="nil"/>
            </w:tcBorders>
            <w:shd w:val="clear" w:color="auto" w:fill="auto"/>
            <w:noWrap/>
            <w:vAlign w:val="bottom"/>
            <w:hideMark/>
          </w:tcPr>
          <w:p w14:paraId="20983538"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25,848 </w:t>
            </w:r>
          </w:p>
        </w:tc>
        <w:tc>
          <w:tcPr>
            <w:tcW w:w="1206" w:type="dxa"/>
            <w:tcBorders>
              <w:top w:val="nil"/>
              <w:left w:val="nil"/>
              <w:bottom w:val="nil"/>
              <w:right w:val="nil"/>
            </w:tcBorders>
            <w:shd w:val="clear" w:color="auto" w:fill="auto"/>
            <w:noWrap/>
            <w:vAlign w:val="bottom"/>
            <w:hideMark/>
          </w:tcPr>
          <w:p w14:paraId="0A3E5BE5"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4</w:t>
            </w:r>
          </w:p>
        </w:tc>
        <w:tc>
          <w:tcPr>
            <w:tcW w:w="1360" w:type="dxa"/>
            <w:tcBorders>
              <w:top w:val="nil"/>
              <w:left w:val="nil"/>
              <w:bottom w:val="nil"/>
              <w:right w:val="nil"/>
            </w:tcBorders>
            <w:shd w:val="clear" w:color="auto" w:fill="auto"/>
            <w:noWrap/>
            <w:vAlign w:val="bottom"/>
            <w:hideMark/>
          </w:tcPr>
          <w:p w14:paraId="15581CA9"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4.48%</w:t>
            </w:r>
          </w:p>
        </w:tc>
        <w:tc>
          <w:tcPr>
            <w:tcW w:w="1508" w:type="dxa"/>
            <w:tcBorders>
              <w:top w:val="nil"/>
              <w:left w:val="nil"/>
              <w:bottom w:val="nil"/>
              <w:right w:val="nil"/>
            </w:tcBorders>
            <w:shd w:val="clear" w:color="auto" w:fill="auto"/>
            <w:noWrap/>
            <w:vAlign w:val="bottom"/>
            <w:hideMark/>
          </w:tcPr>
          <w:p w14:paraId="70504945"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0.49%</w:t>
            </w:r>
          </w:p>
        </w:tc>
        <w:tc>
          <w:tcPr>
            <w:tcW w:w="1705" w:type="dxa"/>
            <w:tcBorders>
              <w:top w:val="nil"/>
              <w:left w:val="nil"/>
              <w:bottom w:val="nil"/>
              <w:right w:val="single" w:sz="8" w:space="0" w:color="auto"/>
            </w:tcBorders>
            <w:shd w:val="clear" w:color="auto" w:fill="auto"/>
            <w:noWrap/>
            <w:vAlign w:val="bottom"/>
            <w:hideMark/>
          </w:tcPr>
          <w:p w14:paraId="5317E004"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0.02%</w:t>
            </w:r>
          </w:p>
        </w:tc>
      </w:tr>
      <w:tr w:rsidR="007035BA" w:rsidRPr="007035BA" w14:paraId="5B77B280"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6B6DFE73"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GULF OIL</w:t>
            </w:r>
          </w:p>
        </w:tc>
        <w:tc>
          <w:tcPr>
            <w:tcW w:w="1160" w:type="dxa"/>
            <w:tcBorders>
              <w:top w:val="nil"/>
              <w:left w:val="nil"/>
              <w:bottom w:val="nil"/>
              <w:right w:val="nil"/>
            </w:tcBorders>
            <w:shd w:val="clear" w:color="auto" w:fill="auto"/>
            <w:noWrap/>
            <w:vAlign w:val="bottom"/>
            <w:hideMark/>
          </w:tcPr>
          <w:p w14:paraId="75C784F9"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5,176 </w:t>
            </w:r>
          </w:p>
        </w:tc>
        <w:tc>
          <w:tcPr>
            <w:tcW w:w="1206" w:type="dxa"/>
            <w:tcBorders>
              <w:top w:val="nil"/>
              <w:left w:val="nil"/>
              <w:bottom w:val="nil"/>
              <w:right w:val="nil"/>
            </w:tcBorders>
            <w:shd w:val="clear" w:color="auto" w:fill="auto"/>
            <w:noWrap/>
            <w:vAlign w:val="bottom"/>
            <w:hideMark/>
          </w:tcPr>
          <w:p w14:paraId="024546C3"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0</w:t>
            </w:r>
          </w:p>
        </w:tc>
        <w:tc>
          <w:tcPr>
            <w:tcW w:w="1360" w:type="dxa"/>
            <w:tcBorders>
              <w:top w:val="nil"/>
              <w:left w:val="nil"/>
              <w:bottom w:val="nil"/>
              <w:right w:val="nil"/>
            </w:tcBorders>
            <w:shd w:val="clear" w:color="auto" w:fill="auto"/>
            <w:noWrap/>
            <w:vAlign w:val="bottom"/>
            <w:hideMark/>
          </w:tcPr>
          <w:p w14:paraId="36B85585"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0.90%</w:t>
            </w:r>
          </w:p>
        </w:tc>
        <w:tc>
          <w:tcPr>
            <w:tcW w:w="1508" w:type="dxa"/>
            <w:tcBorders>
              <w:top w:val="nil"/>
              <w:left w:val="nil"/>
              <w:bottom w:val="nil"/>
              <w:right w:val="nil"/>
            </w:tcBorders>
            <w:shd w:val="clear" w:color="auto" w:fill="auto"/>
            <w:noWrap/>
            <w:vAlign w:val="bottom"/>
            <w:hideMark/>
          </w:tcPr>
          <w:p w14:paraId="58B5AF60"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c>
          <w:tcPr>
            <w:tcW w:w="1705" w:type="dxa"/>
            <w:tcBorders>
              <w:top w:val="nil"/>
              <w:left w:val="nil"/>
              <w:bottom w:val="nil"/>
              <w:right w:val="single" w:sz="8" w:space="0" w:color="auto"/>
            </w:tcBorders>
            <w:shd w:val="clear" w:color="auto" w:fill="auto"/>
            <w:noWrap/>
            <w:vAlign w:val="bottom"/>
            <w:hideMark/>
          </w:tcPr>
          <w:p w14:paraId="4D15E179"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r>
      <w:tr w:rsidR="007035BA" w:rsidRPr="007035BA" w14:paraId="2BEDD65D"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1A07C6A6"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ABEST</w:t>
            </w:r>
          </w:p>
        </w:tc>
        <w:tc>
          <w:tcPr>
            <w:tcW w:w="1160" w:type="dxa"/>
            <w:tcBorders>
              <w:top w:val="nil"/>
              <w:left w:val="nil"/>
              <w:bottom w:val="nil"/>
              <w:right w:val="nil"/>
            </w:tcBorders>
            <w:shd w:val="clear" w:color="auto" w:fill="auto"/>
            <w:noWrap/>
            <w:vAlign w:val="bottom"/>
            <w:hideMark/>
          </w:tcPr>
          <w:p w14:paraId="375C823B"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2,136 </w:t>
            </w:r>
          </w:p>
        </w:tc>
        <w:tc>
          <w:tcPr>
            <w:tcW w:w="1206" w:type="dxa"/>
            <w:tcBorders>
              <w:top w:val="nil"/>
              <w:left w:val="nil"/>
              <w:bottom w:val="nil"/>
              <w:right w:val="nil"/>
            </w:tcBorders>
            <w:shd w:val="clear" w:color="auto" w:fill="auto"/>
            <w:noWrap/>
            <w:vAlign w:val="bottom"/>
            <w:hideMark/>
          </w:tcPr>
          <w:p w14:paraId="72FCE68D"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0</w:t>
            </w:r>
          </w:p>
        </w:tc>
        <w:tc>
          <w:tcPr>
            <w:tcW w:w="1360" w:type="dxa"/>
            <w:tcBorders>
              <w:top w:val="nil"/>
              <w:left w:val="nil"/>
              <w:bottom w:val="nil"/>
              <w:right w:val="nil"/>
            </w:tcBorders>
            <w:shd w:val="clear" w:color="auto" w:fill="auto"/>
            <w:noWrap/>
            <w:vAlign w:val="bottom"/>
            <w:hideMark/>
          </w:tcPr>
          <w:p w14:paraId="6B25963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0.37%</w:t>
            </w:r>
          </w:p>
        </w:tc>
        <w:tc>
          <w:tcPr>
            <w:tcW w:w="1508" w:type="dxa"/>
            <w:tcBorders>
              <w:top w:val="nil"/>
              <w:left w:val="nil"/>
              <w:bottom w:val="nil"/>
              <w:right w:val="nil"/>
            </w:tcBorders>
            <w:shd w:val="clear" w:color="auto" w:fill="auto"/>
            <w:noWrap/>
            <w:vAlign w:val="bottom"/>
            <w:hideMark/>
          </w:tcPr>
          <w:p w14:paraId="1C01E5CD"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c>
          <w:tcPr>
            <w:tcW w:w="1705" w:type="dxa"/>
            <w:tcBorders>
              <w:top w:val="nil"/>
              <w:left w:val="nil"/>
              <w:bottom w:val="nil"/>
              <w:right w:val="single" w:sz="8" w:space="0" w:color="auto"/>
            </w:tcBorders>
            <w:shd w:val="clear" w:color="auto" w:fill="auto"/>
            <w:noWrap/>
            <w:vAlign w:val="bottom"/>
            <w:hideMark/>
          </w:tcPr>
          <w:p w14:paraId="0FD9A724"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r>
      <w:tr w:rsidR="007035BA" w:rsidRPr="007035BA" w14:paraId="712895C0"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5E456FCC"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PEOPLE'S POWER</w:t>
            </w:r>
          </w:p>
        </w:tc>
        <w:tc>
          <w:tcPr>
            <w:tcW w:w="1160" w:type="dxa"/>
            <w:tcBorders>
              <w:top w:val="nil"/>
              <w:left w:val="nil"/>
              <w:bottom w:val="nil"/>
              <w:right w:val="nil"/>
            </w:tcBorders>
            <w:shd w:val="clear" w:color="auto" w:fill="auto"/>
            <w:noWrap/>
            <w:vAlign w:val="bottom"/>
            <w:hideMark/>
          </w:tcPr>
          <w:p w14:paraId="28DEBFED"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667 </w:t>
            </w:r>
          </w:p>
        </w:tc>
        <w:tc>
          <w:tcPr>
            <w:tcW w:w="1206" w:type="dxa"/>
            <w:tcBorders>
              <w:top w:val="nil"/>
              <w:left w:val="nil"/>
              <w:bottom w:val="nil"/>
              <w:right w:val="nil"/>
            </w:tcBorders>
            <w:shd w:val="clear" w:color="auto" w:fill="auto"/>
            <w:noWrap/>
            <w:vAlign w:val="bottom"/>
            <w:hideMark/>
          </w:tcPr>
          <w:p w14:paraId="0475A046"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0</w:t>
            </w:r>
          </w:p>
        </w:tc>
        <w:tc>
          <w:tcPr>
            <w:tcW w:w="1360" w:type="dxa"/>
            <w:tcBorders>
              <w:top w:val="nil"/>
              <w:left w:val="nil"/>
              <w:bottom w:val="nil"/>
              <w:right w:val="nil"/>
            </w:tcBorders>
            <w:shd w:val="clear" w:color="auto" w:fill="auto"/>
            <w:noWrap/>
            <w:vAlign w:val="bottom"/>
            <w:hideMark/>
          </w:tcPr>
          <w:p w14:paraId="2F92413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0.12%</w:t>
            </w:r>
          </w:p>
        </w:tc>
        <w:tc>
          <w:tcPr>
            <w:tcW w:w="1508" w:type="dxa"/>
            <w:tcBorders>
              <w:top w:val="nil"/>
              <w:left w:val="nil"/>
              <w:bottom w:val="nil"/>
              <w:right w:val="nil"/>
            </w:tcBorders>
            <w:shd w:val="clear" w:color="auto" w:fill="auto"/>
            <w:noWrap/>
            <w:vAlign w:val="bottom"/>
            <w:hideMark/>
          </w:tcPr>
          <w:p w14:paraId="18DDE0F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c>
          <w:tcPr>
            <w:tcW w:w="1705" w:type="dxa"/>
            <w:tcBorders>
              <w:top w:val="nil"/>
              <w:left w:val="nil"/>
              <w:bottom w:val="nil"/>
              <w:right w:val="single" w:sz="8" w:space="0" w:color="auto"/>
            </w:tcBorders>
            <w:shd w:val="clear" w:color="auto" w:fill="auto"/>
            <w:noWrap/>
            <w:vAlign w:val="bottom"/>
            <w:hideMark/>
          </w:tcPr>
          <w:p w14:paraId="130CE7E2"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r>
      <w:tr w:rsidR="007035BA" w:rsidRPr="007035BA" w14:paraId="34138D86" w14:textId="77777777" w:rsidTr="00837A3E">
        <w:trPr>
          <w:trHeight w:val="280"/>
          <w:jc w:val="center"/>
        </w:trPr>
        <w:tc>
          <w:tcPr>
            <w:tcW w:w="3260" w:type="dxa"/>
            <w:tcBorders>
              <w:top w:val="nil"/>
              <w:left w:val="single" w:sz="8" w:space="0" w:color="auto"/>
              <w:bottom w:val="nil"/>
              <w:right w:val="nil"/>
            </w:tcBorders>
            <w:shd w:val="clear" w:color="auto" w:fill="auto"/>
            <w:noWrap/>
            <w:vAlign w:val="bottom"/>
            <w:hideMark/>
          </w:tcPr>
          <w:p w14:paraId="3D05DFFC"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Small companies with no complaints</w:t>
            </w:r>
          </w:p>
        </w:tc>
        <w:tc>
          <w:tcPr>
            <w:tcW w:w="1160" w:type="dxa"/>
            <w:tcBorders>
              <w:top w:val="nil"/>
              <w:left w:val="nil"/>
              <w:bottom w:val="nil"/>
              <w:right w:val="nil"/>
            </w:tcBorders>
            <w:shd w:val="clear" w:color="auto" w:fill="auto"/>
            <w:noWrap/>
            <w:vAlign w:val="bottom"/>
            <w:hideMark/>
          </w:tcPr>
          <w:p w14:paraId="256E9C7E"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 xml:space="preserve"> 893 </w:t>
            </w:r>
          </w:p>
        </w:tc>
        <w:tc>
          <w:tcPr>
            <w:tcW w:w="1206" w:type="dxa"/>
            <w:tcBorders>
              <w:top w:val="nil"/>
              <w:left w:val="nil"/>
              <w:bottom w:val="nil"/>
              <w:right w:val="nil"/>
            </w:tcBorders>
            <w:shd w:val="clear" w:color="auto" w:fill="auto"/>
            <w:noWrap/>
            <w:vAlign w:val="bottom"/>
            <w:hideMark/>
          </w:tcPr>
          <w:p w14:paraId="1F764E5D"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0</w:t>
            </w:r>
          </w:p>
        </w:tc>
        <w:tc>
          <w:tcPr>
            <w:tcW w:w="1360" w:type="dxa"/>
            <w:tcBorders>
              <w:top w:val="nil"/>
              <w:left w:val="nil"/>
              <w:bottom w:val="nil"/>
              <w:right w:val="nil"/>
            </w:tcBorders>
            <w:shd w:val="clear" w:color="auto" w:fill="auto"/>
            <w:noWrap/>
            <w:vAlign w:val="bottom"/>
            <w:hideMark/>
          </w:tcPr>
          <w:p w14:paraId="18A90F4B"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0.15%</w:t>
            </w:r>
          </w:p>
        </w:tc>
        <w:tc>
          <w:tcPr>
            <w:tcW w:w="1508" w:type="dxa"/>
            <w:tcBorders>
              <w:top w:val="nil"/>
              <w:left w:val="nil"/>
              <w:bottom w:val="nil"/>
              <w:right w:val="nil"/>
            </w:tcBorders>
            <w:shd w:val="clear" w:color="auto" w:fill="auto"/>
            <w:noWrap/>
            <w:vAlign w:val="bottom"/>
            <w:hideMark/>
          </w:tcPr>
          <w:p w14:paraId="28BC6AFE"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c>
          <w:tcPr>
            <w:tcW w:w="1705" w:type="dxa"/>
            <w:tcBorders>
              <w:top w:val="nil"/>
              <w:left w:val="nil"/>
              <w:bottom w:val="nil"/>
              <w:right w:val="single" w:sz="8" w:space="0" w:color="auto"/>
            </w:tcBorders>
            <w:shd w:val="clear" w:color="auto" w:fill="auto"/>
            <w:noWrap/>
            <w:vAlign w:val="bottom"/>
            <w:hideMark/>
          </w:tcPr>
          <w:p w14:paraId="5F615555"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0.00%</w:t>
            </w:r>
          </w:p>
        </w:tc>
      </w:tr>
      <w:tr w:rsidR="007035BA" w:rsidRPr="007035BA" w14:paraId="484C581F" w14:textId="77777777" w:rsidTr="00837A3E">
        <w:trPr>
          <w:trHeight w:val="240"/>
          <w:jc w:val="center"/>
        </w:trPr>
        <w:tc>
          <w:tcPr>
            <w:tcW w:w="3260" w:type="dxa"/>
            <w:tcBorders>
              <w:top w:val="nil"/>
              <w:left w:val="single" w:sz="8" w:space="0" w:color="auto"/>
              <w:bottom w:val="nil"/>
              <w:right w:val="nil"/>
            </w:tcBorders>
            <w:shd w:val="clear" w:color="auto" w:fill="auto"/>
            <w:noWrap/>
            <w:vAlign w:val="bottom"/>
            <w:hideMark/>
          </w:tcPr>
          <w:p w14:paraId="6D2919E1"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Other</w:t>
            </w:r>
          </w:p>
        </w:tc>
        <w:tc>
          <w:tcPr>
            <w:tcW w:w="1160" w:type="dxa"/>
            <w:tcBorders>
              <w:top w:val="nil"/>
              <w:left w:val="nil"/>
              <w:bottom w:val="nil"/>
              <w:right w:val="nil"/>
            </w:tcBorders>
            <w:shd w:val="clear" w:color="auto" w:fill="auto"/>
            <w:noWrap/>
            <w:vAlign w:val="center"/>
            <w:hideMark/>
          </w:tcPr>
          <w:p w14:paraId="5CD2C286" w14:textId="77777777" w:rsidR="007035BA" w:rsidRPr="007035BA" w:rsidRDefault="007035BA" w:rsidP="00837A3E">
            <w:pPr>
              <w:keepNext/>
              <w:keepLines/>
              <w:widowControl/>
              <w:autoSpaceDE/>
              <w:autoSpaceDN/>
              <w:adjustRightInd/>
              <w:jc w:val="center"/>
              <w:rPr>
                <w:color w:val="000000"/>
                <w:sz w:val="18"/>
                <w:szCs w:val="18"/>
              </w:rPr>
            </w:pPr>
            <w:r w:rsidRPr="007035BA">
              <w:rPr>
                <w:color w:val="000000"/>
                <w:sz w:val="18"/>
                <w:szCs w:val="18"/>
              </w:rPr>
              <w:t>*</w:t>
            </w:r>
          </w:p>
        </w:tc>
        <w:tc>
          <w:tcPr>
            <w:tcW w:w="1206" w:type="dxa"/>
            <w:tcBorders>
              <w:top w:val="nil"/>
              <w:left w:val="nil"/>
              <w:bottom w:val="nil"/>
              <w:right w:val="nil"/>
            </w:tcBorders>
            <w:shd w:val="clear" w:color="auto" w:fill="auto"/>
            <w:noWrap/>
            <w:vAlign w:val="bottom"/>
            <w:hideMark/>
          </w:tcPr>
          <w:p w14:paraId="1C7D7D34"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13</w:t>
            </w:r>
          </w:p>
        </w:tc>
        <w:tc>
          <w:tcPr>
            <w:tcW w:w="1360" w:type="dxa"/>
            <w:tcBorders>
              <w:top w:val="nil"/>
              <w:left w:val="nil"/>
              <w:bottom w:val="nil"/>
              <w:right w:val="nil"/>
            </w:tcBorders>
            <w:shd w:val="clear" w:color="auto" w:fill="auto"/>
            <w:noWrap/>
            <w:vAlign w:val="center"/>
            <w:hideMark/>
          </w:tcPr>
          <w:p w14:paraId="1538E44C"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w:t>
            </w:r>
          </w:p>
        </w:tc>
        <w:tc>
          <w:tcPr>
            <w:tcW w:w="1508" w:type="dxa"/>
            <w:tcBorders>
              <w:top w:val="nil"/>
              <w:left w:val="nil"/>
              <w:bottom w:val="nil"/>
              <w:right w:val="nil"/>
            </w:tcBorders>
            <w:shd w:val="clear" w:color="auto" w:fill="auto"/>
            <w:noWrap/>
            <w:vAlign w:val="bottom"/>
            <w:hideMark/>
          </w:tcPr>
          <w:p w14:paraId="429AF81F"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1.59%</w:t>
            </w:r>
          </w:p>
        </w:tc>
        <w:tc>
          <w:tcPr>
            <w:tcW w:w="1705" w:type="dxa"/>
            <w:tcBorders>
              <w:top w:val="nil"/>
              <w:left w:val="nil"/>
              <w:bottom w:val="nil"/>
              <w:right w:val="single" w:sz="8" w:space="0" w:color="auto"/>
            </w:tcBorders>
            <w:shd w:val="clear" w:color="auto" w:fill="auto"/>
            <w:noWrap/>
            <w:vAlign w:val="center"/>
            <w:hideMark/>
          </w:tcPr>
          <w:p w14:paraId="4E2DA629"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w:t>
            </w:r>
          </w:p>
        </w:tc>
      </w:tr>
      <w:tr w:rsidR="007035BA" w:rsidRPr="007035BA" w14:paraId="5F2F2923" w14:textId="77777777" w:rsidTr="00837A3E">
        <w:trPr>
          <w:trHeight w:val="300"/>
          <w:jc w:val="center"/>
        </w:trPr>
        <w:tc>
          <w:tcPr>
            <w:tcW w:w="3260" w:type="dxa"/>
            <w:tcBorders>
              <w:top w:val="nil"/>
              <w:left w:val="single" w:sz="8" w:space="0" w:color="auto"/>
              <w:bottom w:val="single" w:sz="8" w:space="0" w:color="auto"/>
              <w:right w:val="nil"/>
            </w:tcBorders>
            <w:shd w:val="clear" w:color="auto" w:fill="auto"/>
            <w:noWrap/>
            <w:vAlign w:val="center"/>
            <w:hideMark/>
          </w:tcPr>
          <w:p w14:paraId="33DD8650" w14:textId="77777777" w:rsidR="007035BA" w:rsidRPr="007035BA" w:rsidRDefault="007035BA" w:rsidP="00837A3E">
            <w:pPr>
              <w:keepNext/>
              <w:keepLines/>
              <w:widowControl/>
              <w:autoSpaceDE/>
              <w:autoSpaceDN/>
              <w:adjustRightInd/>
              <w:ind w:firstLine="180"/>
              <w:rPr>
                <w:color w:val="000000"/>
                <w:sz w:val="18"/>
                <w:szCs w:val="18"/>
              </w:rPr>
            </w:pPr>
            <w:r w:rsidRPr="007035BA">
              <w:rPr>
                <w:color w:val="000000"/>
                <w:sz w:val="18"/>
                <w:szCs w:val="18"/>
              </w:rPr>
              <w:t>TOTAL</w:t>
            </w:r>
          </w:p>
        </w:tc>
        <w:tc>
          <w:tcPr>
            <w:tcW w:w="1160" w:type="dxa"/>
            <w:tcBorders>
              <w:top w:val="nil"/>
              <w:left w:val="nil"/>
              <w:bottom w:val="single" w:sz="8" w:space="0" w:color="auto"/>
              <w:right w:val="nil"/>
            </w:tcBorders>
            <w:shd w:val="clear" w:color="auto" w:fill="auto"/>
            <w:noWrap/>
            <w:vAlign w:val="center"/>
            <w:hideMark/>
          </w:tcPr>
          <w:p w14:paraId="547677DD"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577,312</w:t>
            </w:r>
          </w:p>
        </w:tc>
        <w:tc>
          <w:tcPr>
            <w:tcW w:w="1206" w:type="dxa"/>
            <w:tcBorders>
              <w:top w:val="nil"/>
              <w:left w:val="nil"/>
              <w:bottom w:val="single" w:sz="8" w:space="0" w:color="auto"/>
              <w:right w:val="nil"/>
            </w:tcBorders>
            <w:shd w:val="clear" w:color="auto" w:fill="auto"/>
            <w:noWrap/>
            <w:vAlign w:val="center"/>
            <w:hideMark/>
          </w:tcPr>
          <w:p w14:paraId="5FE13A17" w14:textId="77777777" w:rsidR="007035BA" w:rsidRPr="007035BA" w:rsidRDefault="007035BA" w:rsidP="00837A3E">
            <w:pPr>
              <w:keepNext/>
              <w:keepLines/>
              <w:widowControl/>
              <w:autoSpaceDE/>
              <w:autoSpaceDN/>
              <w:adjustRightInd/>
              <w:jc w:val="right"/>
              <w:rPr>
                <w:color w:val="000000"/>
                <w:sz w:val="18"/>
                <w:szCs w:val="18"/>
              </w:rPr>
            </w:pPr>
            <w:r w:rsidRPr="007035BA">
              <w:rPr>
                <w:color w:val="000000"/>
                <w:sz w:val="18"/>
                <w:szCs w:val="18"/>
              </w:rPr>
              <w:t>818</w:t>
            </w:r>
          </w:p>
        </w:tc>
        <w:tc>
          <w:tcPr>
            <w:tcW w:w="1360" w:type="dxa"/>
            <w:tcBorders>
              <w:top w:val="nil"/>
              <w:left w:val="nil"/>
              <w:bottom w:val="single" w:sz="8" w:space="0" w:color="auto"/>
              <w:right w:val="nil"/>
            </w:tcBorders>
            <w:shd w:val="clear" w:color="auto" w:fill="auto"/>
            <w:noWrap/>
            <w:vAlign w:val="center"/>
            <w:hideMark/>
          </w:tcPr>
          <w:p w14:paraId="5E7E7845"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100.00%</w:t>
            </w:r>
          </w:p>
        </w:tc>
        <w:tc>
          <w:tcPr>
            <w:tcW w:w="1508" w:type="dxa"/>
            <w:tcBorders>
              <w:top w:val="nil"/>
              <w:left w:val="nil"/>
              <w:bottom w:val="single" w:sz="8" w:space="0" w:color="auto"/>
              <w:right w:val="nil"/>
            </w:tcBorders>
            <w:shd w:val="clear" w:color="auto" w:fill="auto"/>
            <w:noWrap/>
            <w:vAlign w:val="center"/>
            <w:hideMark/>
          </w:tcPr>
          <w:p w14:paraId="34D8C8D5"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100.00%</w:t>
            </w:r>
          </w:p>
        </w:tc>
        <w:tc>
          <w:tcPr>
            <w:tcW w:w="1705" w:type="dxa"/>
            <w:tcBorders>
              <w:top w:val="nil"/>
              <w:left w:val="nil"/>
              <w:bottom w:val="single" w:sz="8" w:space="0" w:color="auto"/>
              <w:right w:val="single" w:sz="8" w:space="0" w:color="auto"/>
            </w:tcBorders>
            <w:shd w:val="clear" w:color="auto" w:fill="auto"/>
            <w:noWrap/>
            <w:vAlign w:val="center"/>
            <w:hideMark/>
          </w:tcPr>
          <w:p w14:paraId="7B9D5E14" w14:textId="77777777" w:rsidR="007035BA" w:rsidRPr="007035BA" w:rsidRDefault="007035BA" w:rsidP="00837A3E">
            <w:pPr>
              <w:keepNext/>
              <w:keepLines/>
              <w:widowControl/>
              <w:autoSpaceDE/>
              <w:autoSpaceDN/>
              <w:adjustRightInd/>
              <w:ind w:firstLine="360"/>
              <w:rPr>
                <w:color w:val="000000"/>
                <w:sz w:val="18"/>
                <w:szCs w:val="18"/>
              </w:rPr>
            </w:pPr>
            <w:r w:rsidRPr="007035BA">
              <w:rPr>
                <w:color w:val="000000"/>
                <w:sz w:val="18"/>
                <w:szCs w:val="18"/>
              </w:rPr>
              <w:t>0.14%</w:t>
            </w:r>
          </w:p>
        </w:tc>
      </w:tr>
    </w:tbl>
    <w:p w14:paraId="2F4A17EE" w14:textId="77777777" w:rsidR="00A06A9A" w:rsidRDefault="00A06A9A" w:rsidP="00837A3E">
      <w:pPr>
        <w:keepLines/>
        <w:spacing w:line="480" w:lineRule="auto"/>
        <w:ind w:left="720" w:hanging="720"/>
        <w:rPr>
          <w:b/>
        </w:rPr>
      </w:pPr>
    </w:p>
    <w:p w14:paraId="4884D4BC" w14:textId="77777777" w:rsidR="00707255" w:rsidRDefault="00707255" w:rsidP="00837A3E">
      <w:pPr>
        <w:keepLines/>
        <w:spacing w:line="480" w:lineRule="auto"/>
        <w:ind w:left="720" w:hanging="720"/>
      </w:pPr>
      <w:r>
        <w:rPr>
          <w:b/>
          <w:bCs/>
        </w:rPr>
        <w:t xml:space="preserve">Q:       Please explain </w:t>
      </w:r>
      <w:r w:rsidR="00A42D94">
        <w:rPr>
          <w:b/>
          <w:bCs/>
        </w:rPr>
        <w:t xml:space="preserve">Table </w:t>
      </w:r>
      <w:r w:rsidR="007F11F6">
        <w:rPr>
          <w:b/>
          <w:bCs/>
        </w:rPr>
        <w:t>2</w:t>
      </w:r>
      <w:r>
        <w:rPr>
          <w:b/>
          <w:bCs/>
        </w:rPr>
        <w:t xml:space="preserve"> further.</w:t>
      </w:r>
      <w:r w:rsidR="00170046">
        <w:rPr>
          <w:b/>
          <w:bCs/>
        </w:rPr>
        <w:t xml:space="preserve"> </w:t>
      </w:r>
    </w:p>
    <w:p w14:paraId="2AE210E2" w14:textId="77777777" w:rsidR="00004825" w:rsidRDefault="00707255" w:rsidP="00837A3E">
      <w:pPr>
        <w:spacing w:line="480" w:lineRule="auto"/>
        <w:ind w:left="720" w:hanging="720"/>
        <w:rPr>
          <w:b/>
        </w:rPr>
      </w:pPr>
      <w:r>
        <w:t>A:        By way of example, Starion Energy</w:t>
      </w:r>
      <w:r w:rsidR="00796DD7">
        <w:t>, Inc. (“Starion”)</w:t>
      </w:r>
      <w:r>
        <w:t xml:space="preserve"> serves 26,258 customers</w:t>
      </w:r>
      <w:r w:rsidR="00FF6CFE">
        <w:t>,</w:t>
      </w:r>
      <w:r>
        <w:t xml:space="preserve"> and there were 190 consumer complaints concerning this company.  Although this</w:t>
      </w:r>
      <w:r w:rsidR="00A93FF2">
        <w:t xml:space="preserve"> Supplier</w:t>
      </w:r>
      <w:r>
        <w:t xml:space="preserve"> serves fewer than five percent of the customers who are served by</w:t>
      </w:r>
      <w:r w:rsidR="00A93FF2">
        <w:t xml:space="preserve"> Supplier</w:t>
      </w:r>
      <w:r>
        <w:t>s (</w:t>
      </w:r>
      <w:r w:rsidRPr="00DA3DAB">
        <w:rPr>
          <w:i/>
        </w:rPr>
        <w:t>i.e.,</w:t>
      </w:r>
      <w:r>
        <w:t xml:space="preserve"> 4.55%), complaints about the c</w:t>
      </w:r>
      <w:r w:rsidR="00837A3E">
        <w:t>ompany represent over 23% (23.23</w:t>
      </w:r>
      <w:r>
        <w:t>%) of all complai</w:t>
      </w:r>
      <w:r w:rsidR="00FE1DD7">
        <w:t>nts, that is, the complaint rate</w:t>
      </w:r>
      <w:r>
        <w:t xml:space="preserve"> for </w:t>
      </w:r>
      <w:r w:rsidR="003A39CD">
        <w:t xml:space="preserve">Starion </w:t>
      </w:r>
      <w:r w:rsidR="003A39CD">
        <w:rPr>
          <w:i/>
          <w:iCs/>
        </w:rPr>
        <w:t>i</w:t>
      </w:r>
      <w:r>
        <w:rPr>
          <w:i/>
          <w:iCs/>
        </w:rPr>
        <w:t>s five times</w:t>
      </w:r>
      <w:r w:rsidR="00FE1DD7">
        <w:t xml:space="preserve"> a proportional level.  </w:t>
      </w:r>
    </w:p>
    <w:p w14:paraId="3DAE66BF" w14:textId="77777777" w:rsidR="00AB0823" w:rsidRDefault="00AB0823" w:rsidP="00AB0823">
      <w:pPr>
        <w:spacing w:line="480" w:lineRule="auto"/>
        <w:ind w:left="720" w:hanging="720"/>
        <w:rPr>
          <w:b/>
        </w:rPr>
      </w:pPr>
      <w:r>
        <w:rPr>
          <w:b/>
        </w:rPr>
        <w:t>Q:</w:t>
      </w:r>
      <w:r>
        <w:rPr>
          <w:b/>
        </w:rPr>
        <w:tab/>
        <w:t>Can you further explain the complaint rate or ratio that you just discussed in generic terms?</w:t>
      </w:r>
    </w:p>
    <w:p w14:paraId="66A89383" w14:textId="77777777" w:rsidR="00AB0823" w:rsidRDefault="00AB0823" w:rsidP="00AB0823">
      <w:pPr>
        <w:spacing w:line="480" w:lineRule="auto"/>
        <w:ind w:left="720" w:hanging="720"/>
      </w:pPr>
      <w:r>
        <w:t>A:</w:t>
      </w:r>
      <w:r>
        <w:tab/>
        <w:t>Throughout this testimony</w:t>
      </w:r>
      <w:r w:rsidR="00FF6CFE">
        <w:t>,</w:t>
      </w:r>
      <w:r w:rsidR="008B6DBC">
        <w:t xml:space="preserve"> we </w:t>
      </w:r>
      <w:r>
        <w:t>will refer to “Complaint Ratio” to describe the comparison of the percent of all</w:t>
      </w:r>
      <w:r w:rsidR="00A93FF2">
        <w:t xml:space="preserve"> Supplier</w:t>
      </w:r>
      <w:r>
        <w:t xml:space="preserve"> complaints to the percent of all</w:t>
      </w:r>
      <w:r w:rsidR="00A93FF2">
        <w:t xml:space="preserve"> Supplier</w:t>
      </w:r>
      <w:r>
        <w:t xml:space="preserve"> customers represented by individual</w:t>
      </w:r>
      <w:r w:rsidR="00A93FF2">
        <w:t xml:space="preserve"> Supplier</w:t>
      </w:r>
      <w:r>
        <w:t xml:space="preserve">s.  That is, </w:t>
      </w:r>
      <w:r w:rsidR="00D557B6">
        <w:t>the complaint ratio, as</w:t>
      </w:r>
      <w:r w:rsidR="008B6DBC">
        <w:t xml:space="preserve"> we </w:t>
      </w:r>
      <w:r w:rsidR="00D557B6">
        <w:t xml:space="preserve">use the term in </w:t>
      </w:r>
      <w:r w:rsidR="00AD6779">
        <w:t xml:space="preserve">our </w:t>
      </w:r>
      <w:r w:rsidR="00D557B6">
        <w:t xml:space="preserve">testimony, measures </w:t>
      </w:r>
      <w:r>
        <w:t>the extent to which an individual</w:t>
      </w:r>
      <w:r w:rsidR="00A93FF2">
        <w:t xml:space="preserve"> Supplier</w:t>
      </w:r>
      <w:r>
        <w:t>’s complaints exceed the relative proportion of customers it serves.</w:t>
      </w:r>
      <w:r w:rsidR="00170046">
        <w:t xml:space="preserve">  </w:t>
      </w:r>
      <w:r w:rsidR="00627691">
        <w:t xml:space="preserve"> </w:t>
      </w:r>
    </w:p>
    <w:p w14:paraId="6C2FF888" w14:textId="77777777" w:rsidR="00170046" w:rsidRDefault="00B358E6" w:rsidP="00170046">
      <w:pPr>
        <w:spacing w:line="480" w:lineRule="auto"/>
        <w:ind w:left="720" w:hanging="720"/>
        <w:rPr>
          <w:b/>
        </w:rPr>
      </w:pPr>
      <w:r>
        <w:rPr>
          <w:b/>
        </w:rPr>
        <w:t>Q:</w:t>
      </w:r>
      <w:r>
        <w:rPr>
          <w:b/>
        </w:rPr>
        <w:tab/>
        <w:t xml:space="preserve">What do </w:t>
      </w:r>
      <w:r w:rsidR="005F5AFB">
        <w:rPr>
          <w:b/>
        </w:rPr>
        <w:t xml:space="preserve">Tables 1 and </w:t>
      </w:r>
      <w:r w:rsidR="007F11F6">
        <w:rPr>
          <w:b/>
        </w:rPr>
        <w:t>2</w:t>
      </w:r>
      <w:r w:rsidR="00986206">
        <w:rPr>
          <w:b/>
        </w:rPr>
        <w:t xml:space="preserve"> </w:t>
      </w:r>
      <w:r>
        <w:rPr>
          <w:b/>
        </w:rPr>
        <w:t>show?</w:t>
      </w:r>
    </w:p>
    <w:p w14:paraId="075E617C" w14:textId="77777777" w:rsidR="00170046" w:rsidRDefault="00170046" w:rsidP="008C38E4">
      <w:pPr>
        <w:spacing w:line="480" w:lineRule="auto"/>
        <w:ind w:left="720" w:hanging="720"/>
      </w:pPr>
      <w:r>
        <w:t>A:</w:t>
      </w:r>
      <w:r>
        <w:tab/>
        <w:t>Certain</w:t>
      </w:r>
      <w:r w:rsidR="00A93FF2">
        <w:t xml:space="preserve"> Supplier</w:t>
      </w:r>
      <w:r>
        <w:t>s stand out based both on the high absolute quantity of complaints associated with their service and as measured relative to their customer base.  These</w:t>
      </w:r>
      <w:r w:rsidR="00A93FF2">
        <w:t xml:space="preserve"> Supplier</w:t>
      </w:r>
      <w:r>
        <w:t>s</w:t>
      </w:r>
      <w:r w:rsidR="00FF6CFE">
        <w:t>, all of which have a complaint ratio of 1.0 or above,</w:t>
      </w:r>
      <w:r>
        <w:t xml:space="preserve"> include: Starion, Liberty Power, Connecticut Gas &amp; Electric, Clearview, Palmco, Constellation, Choice Energy, Hop Energy, Perigree, Public Power &amp; Utility, Independence, </w:t>
      </w:r>
      <w:r w:rsidR="00627691">
        <w:t xml:space="preserve">and </w:t>
      </w:r>
      <w:r>
        <w:t>Viridian Energy</w:t>
      </w:r>
      <w:r w:rsidR="00627691">
        <w:t>.</w:t>
      </w:r>
      <w:r>
        <w:rPr>
          <w:b/>
        </w:rPr>
        <w:t xml:space="preserve"> </w:t>
      </w:r>
      <w:r w:rsidR="00167107">
        <w:t xml:space="preserve"> </w:t>
      </w:r>
      <w:r w:rsidR="00FF6CFE">
        <w:t>Th</w:t>
      </w:r>
      <w:r w:rsidR="00961F98">
        <w:t>e</w:t>
      </w:r>
      <w:r w:rsidR="00A93FF2">
        <w:t xml:space="preserve"> Supplier</w:t>
      </w:r>
      <w:r w:rsidR="00FF6CFE">
        <w:t>s on this list are ranked in descending order, beginning with the</w:t>
      </w:r>
      <w:r w:rsidR="00A93FF2">
        <w:t xml:space="preserve"> Supplier</w:t>
      </w:r>
      <w:r w:rsidR="00FF6CFE">
        <w:t xml:space="preserve"> with the highest (worst) complaint ratio.  </w:t>
      </w:r>
      <w:r w:rsidR="00167107">
        <w:t>In Section IV, below,</w:t>
      </w:r>
      <w:r w:rsidR="008B6DBC">
        <w:t xml:space="preserve"> we </w:t>
      </w:r>
      <w:r w:rsidR="00167107">
        <w:t xml:space="preserve">compare these </w:t>
      </w:r>
      <w:r>
        <w:t>and other</w:t>
      </w:r>
      <w:r w:rsidR="00A93FF2">
        <w:t xml:space="preserve"> Supplier</w:t>
      </w:r>
      <w:r w:rsidR="00167107">
        <w:t>s’ prices with the EDCs’ standard rates</w:t>
      </w:r>
      <w:r w:rsidR="00FF6CFE">
        <w:t>,</w:t>
      </w:r>
      <w:r w:rsidR="00D557B6">
        <w:t xml:space="preserve"> so that PURA can consider the relationship between consumer complaints and</w:t>
      </w:r>
      <w:r w:rsidR="00A93FF2">
        <w:t xml:space="preserve"> Supplier</w:t>
      </w:r>
      <w:r w:rsidR="00D557B6">
        <w:t xml:space="preserve"> prices.</w:t>
      </w:r>
      <w:r w:rsidR="008C38E4">
        <w:t xml:space="preserve"> </w:t>
      </w:r>
    </w:p>
    <w:p w14:paraId="4ACE9110" w14:textId="77777777" w:rsidR="0016795E" w:rsidRPr="0016795E" w:rsidRDefault="0016795E" w:rsidP="0009426F">
      <w:pPr>
        <w:spacing w:line="480" w:lineRule="auto"/>
        <w:ind w:left="720" w:hanging="720"/>
        <w:outlineLvl w:val="1"/>
        <w:rPr>
          <w:b/>
        </w:rPr>
      </w:pPr>
      <w:bookmarkStart w:id="31" w:name="_Toc382029120"/>
      <w:r>
        <w:rPr>
          <w:b/>
        </w:rPr>
        <w:t>Demographics of complaints</w:t>
      </w:r>
      <w:r w:rsidR="00DA4245">
        <w:rPr>
          <w:b/>
        </w:rPr>
        <w:t xml:space="preserve"> and communities where complaints originate</w:t>
      </w:r>
      <w:bookmarkEnd w:id="31"/>
    </w:p>
    <w:p w14:paraId="719FE36F" w14:textId="77777777" w:rsidR="0016795E" w:rsidRDefault="00B358E6" w:rsidP="0016795E">
      <w:pPr>
        <w:spacing w:line="480" w:lineRule="auto"/>
        <w:ind w:left="720" w:hanging="720"/>
        <w:rPr>
          <w:b/>
        </w:rPr>
      </w:pPr>
      <w:r>
        <w:rPr>
          <w:b/>
        </w:rPr>
        <w:t>Q:</w:t>
      </w:r>
      <w:r>
        <w:rPr>
          <w:b/>
        </w:rPr>
        <w:tab/>
        <w:t>Earlier you mentioned that you had tracked information</w:t>
      </w:r>
      <w:r w:rsidR="0016795E">
        <w:rPr>
          <w:b/>
        </w:rPr>
        <w:t xml:space="preserve"> </w:t>
      </w:r>
      <w:r w:rsidR="00DA4245">
        <w:rPr>
          <w:b/>
        </w:rPr>
        <w:t xml:space="preserve">about the customers who complained to PURA.  </w:t>
      </w:r>
      <w:r>
        <w:rPr>
          <w:b/>
        </w:rPr>
        <w:t xml:space="preserve">What did </w:t>
      </w:r>
      <w:r w:rsidR="0016795E">
        <w:rPr>
          <w:b/>
        </w:rPr>
        <w:t>you analyze?</w:t>
      </w:r>
    </w:p>
    <w:p w14:paraId="1DE50440" w14:textId="77777777" w:rsidR="0016795E" w:rsidRDefault="0016795E" w:rsidP="0016795E">
      <w:pPr>
        <w:spacing w:line="480" w:lineRule="auto"/>
        <w:ind w:left="720" w:hanging="720"/>
      </w:pPr>
      <w:r>
        <w:t>A:</w:t>
      </w:r>
      <w:r>
        <w:tab/>
      </w:r>
      <w:r w:rsidR="004319B1">
        <w:t>We</w:t>
      </w:r>
      <w:r>
        <w:t xml:space="preserve"> analyzed three factors: (1) </w:t>
      </w:r>
      <w:r w:rsidR="00F21795">
        <w:t xml:space="preserve">whether </w:t>
      </w:r>
      <w:r w:rsidR="00B061E8">
        <w:t>the complaint was made by or on behalf of a</w:t>
      </w:r>
      <w:r w:rsidR="009C1547">
        <w:t xml:space="preserve"> senior citizen (“S</w:t>
      </w:r>
      <w:r w:rsidR="00E54ADF">
        <w:t>enior</w:t>
      </w:r>
      <w:r w:rsidR="009C1547">
        <w:t>”)</w:t>
      </w:r>
      <w:r>
        <w:t xml:space="preserve">; (2) </w:t>
      </w:r>
      <w:r w:rsidR="00F21795">
        <w:t xml:space="preserve">whether </w:t>
      </w:r>
      <w:r w:rsidR="00B061E8">
        <w:t xml:space="preserve">the complaint was made by </w:t>
      </w:r>
      <w:r>
        <w:t>an ESL person</w:t>
      </w:r>
      <w:r w:rsidR="004F2FB0">
        <w:t>;</w:t>
      </w:r>
      <w:r>
        <w:t xml:space="preserve"> and (3) the customer’s municipality.</w:t>
      </w:r>
    </w:p>
    <w:p w14:paraId="75E0C684" w14:textId="77777777" w:rsidR="00B358E6" w:rsidRDefault="0016795E" w:rsidP="0016795E">
      <w:pPr>
        <w:spacing w:line="480" w:lineRule="auto"/>
        <w:ind w:left="720" w:hanging="720"/>
        <w:rPr>
          <w:b/>
        </w:rPr>
      </w:pPr>
      <w:r>
        <w:rPr>
          <w:b/>
        </w:rPr>
        <w:t>Q:</w:t>
      </w:r>
      <w:r>
        <w:rPr>
          <w:b/>
        </w:rPr>
        <w:tab/>
        <w:t xml:space="preserve">What did </w:t>
      </w:r>
      <w:r w:rsidR="00B358E6">
        <w:rPr>
          <w:b/>
        </w:rPr>
        <w:t>you find</w:t>
      </w:r>
      <w:r>
        <w:rPr>
          <w:b/>
        </w:rPr>
        <w:t xml:space="preserve"> regarding the </w:t>
      </w:r>
      <w:r w:rsidR="008C38E4">
        <w:rPr>
          <w:b/>
        </w:rPr>
        <w:t xml:space="preserve">instances </w:t>
      </w:r>
      <w:r w:rsidR="00E54ADF">
        <w:rPr>
          <w:b/>
        </w:rPr>
        <w:t>Senior</w:t>
      </w:r>
      <w:r w:rsidR="00D51747">
        <w:rPr>
          <w:b/>
        </w:rPr>
        <w:t xml:space="preserve"> </w:t>
      </w:r>
      <w:r w:rsidR="008C38E4">
        <w:rPr>
          <w:b/>
        </w:rPr>
        <w:t>consumers complaining to PURA about electric</w:t>
      </w:r>
      <w:r w:rsidR="00A93FF2">
        <w:rPr>
          <w:b/>
        </w:rPr>
        <w:t xml:space="preserve"> Supplier</w:t>
      </w:r>
      <w:r w:rsidR="008C38E4">
        <w:rPr>
          <w:b/>
        </w:rPr>
        <w:t xml:space="preserve">s’ rates and practices? </w:t>
      </w:r>
    </w:p>
    <w:p w14:paraId="4B2CA9CB" w14:textId="77777777" w:rsidR="00AF62E5" w:rsidRDefault="00F36F66" w:rsidP="008C38E4">
      <w:pPr>
        <w:spacing w:line="480" w:lineRule="auto"/>
        <w:ind w:left="720" w:hanging="720"/>
      </w:pPr>
      <w:r>
        <w:t>A:</w:t>
      </w:r>
      <w:r>
        <w:tab/>
      </w:r>
      <w:r w:rsidR="004319B1">
        <w:t>We</w:t>
      </w:r>
      <w:r>
        <w:t xml:space="preserve"> summarize </w:t>
      </w:r>
      <w:r w:rsidR="00AD6779">
        <w:t xml:space="preserve">our </w:t>
      </w:r>
      <w:r>
        <w:t xml:space="preserve">review in Table </w:t>
      </w:r>
      <w:r w:rsidR="008C38E4">
        <w:t>3</w:t>
      </w:r>
      <w:r>
        <w:t xml:space="preserve"> below, which shows that </w:t>
      </w:r>
      <w:r>
        <w:rPr>
          <w:i/>
        </w:rPr>
        <w:t>at least</w:t>
      </w:r>
      <w:r w:rsidR="008C38E4">
        <w:rPr>
          <w:i/>
        </w:rPr>
        <w:t xml:space="preserve"> </w:t>
      </w:r>
      <w:r w:rsidR="008C38E4">
        <w:t xml:space="preserve">70 </w:t>
      </w:r>
      <w:r>
        <w:t>of</w:t>
      </w:r>
      <w:r w:rsidR="004F2FB0">
        <w:t xml:space="preserve"> </w:t>
      </w:r>
      <w:r>
        <w:t xml:space="preserve">the </w:t>
      </w:r>
      <w:r w:rsidR="002C27E6">
        <w:t xml:space="preserve">818 </w:t>
      </w:r>
      <w:r>
        <w:t xml:space="preserve">consumer complaints </w:t>
      </w:r>
      <w:r w:rsidR="002C27E6">
        <w:t xml:space="preserve">– almost one out of every ten </w:t>
      </w:r>
      <w:r w:rsidR="002C27E6" w:rsidRPr="002C27E6">
        <w:t>–</w:t>
      </w:r>
      <w:r w:rsidR="002C27E6">
        <w:t xml:space="preserve"> </w:t>
      </w:r>
      <w:r>
        <w:t xml:space="preserve">were associated with </w:t>
      </w:r>
      <w:r w:rsidR="00E54ADF">
        <w:t>Senior</w:t>
      </w:r>
      <w:r w:rsidR="00A42D94">
        <w:t>s.</w:t>
      </w:r>
      <w:r w:rsidR="00EA7BB1">
        <w:t xml:space="preserve"> </w:t>
      </w:r>
    </w:p>
    <w:p w14:paraId="0B7AA3B2" w14:textId="77777777" w:rsidR="00FA43E5" w:rsidRDefault="00AF62E5" w:rsidP="008F61CC">
      <w:pPr>
        <w:keepNext/>
        <w:keepLines/>
        <w:ind w:left="720" w:hanging="720"/>
        <w:jc w:val="center"/>
        <w:rPr>
          <w:b/>
        </w:rPr>
      </w:pPr>
      <w:r>
        <w:br w:type="page"/>
      </w:r>
      <w:r w:rsidR="00652A53">
        <w:rPr>
          <w:b/>
        </w:rPr>
        <w:t xml:space="preserve"> T</w:t>
      </w:r>
      <w:r w:rsidR="00FA43E5">
        <w:rPr>
          <w:b/>
        </w:rPr>
        <w:t>able 3</w:t>
      </w:r>
    </w:p>
    <w:p w14:paraId="7AE69A0F" w14:textId="77777777" w:rsidR="00FA43E5" w:rsidRDefault="00FA43E5" w:rsidP="008F61CC">
      <w:pPr>
        <w:keepNext/>
        <w:keepLines/>
        <w:ind w:left="720" w:hanging="720"/>
        <w:jc w:val="center"/>
        <w:rPr>
          <w:b/>
        </w:rPr>
      </w:pPr>
      <w:r>
        <w:rPr>
          <w:b/>
        </w:rPr>
        <w:t xml:space="preserve">Complaints Originating from </w:t>
      </w:r>
      <w:r w:rsidR="00E54ADF">
        <w:rPr>
          <w:b/>
        </w:rPr>
        <w:t>Senior</w:t>
      </w:r>
      <w:r w:rsidR="00EA7BB1">
        <w:rPr>
          <w:b/>
        </w:rPr>
        <w:t>s</w:t>
      </w:r>
      <w:r w:rsidR="00E54ADF">
        <w:rPr>
          <w:b/>
        </w:rPr>
        <w:t xml:space="preserve"> </w:t>
      </w:r>
    </w:p>
    <w:p w14:paraId="7BB12CB4" w14:textId="77777777" w:rsidR="008F61CC" w:rsidRDefault="008F61CC" w:rsidP="008F61CC">
      <w:pPr>
        <w:keepNext/>
        <w:keepLines/>
        <w:ind w:left="720" w:hanging="720"/>
        <w:rPr>
          <w:b/>
        </w:rPr>
      </w:pPr>
    </w:p>
    <w:tbl>
      <w:tblPr>
        <w:tblW w:w="8042" w:type="dxa"/>
        <w:jc w:val="center"/>
        <w:tblLook w:val="04A0" w:firstRow="1" w:lastRow="0" w:firstColumn="1" w:lastColumn="0" w:noHBand="0" w:noVBand="1"/>
      </w:tblPr>
      <w:tblGrid>
        <w:gridCol w:w="2734"/>
        <w:gridCol w:w="1304"/>
        <w:gridCol w:w="1280"/>
        <w:gridCol w:w="1304"/>
        <w:gridCol w:w="1420"/>
      </w:tblGrid>
      <w:tr w:rsidR="00CD1A9E" w:rsidRPr="008F61CC" w14:paraId="2BE921A3" w14:textId="77777777" w:rsidTr="00CD1A9E">
        <w:trPr>
          <w:trHeight w:val="1320"/>
          <w:jc w:val="center"/>
        </w:trPr>
        <w:tc>
          <w:tcPr>
            <w:tcW w:w="2734" w:type="dxa"/>
            <w:tcBorders>
              <w:top w:val="single" w:sz="8" w:space="0" w:color="auto"/>
              <w:left w:val="single" w:sz="8" w:space="0" w:color="auto"/>
              <w:bottom w:val="single" w:sz="8" w:space="0" w:color="auto"/>
              <w:right w:val="nil"/>
            </w:tcBorders>
            <w:shd w:val="clear" w:color="auto" w:fill="auto"/>
            <w:vAlign w:val="center"/>
            <w:hideMark/>
          </w:tcPr>
          <w:p w14:paraId="570CEDF3" w14:textId="77777777" w:rsidR="00CD1A9E" w:rsidRPr="008F61CC" w:rsidRDefault="00CD1A9E" w:rsidP="008F61CC">
            <w:pPr>
              <w:keepNext/>
              <w:keepLines/>
              <w:widowControl/>
              <w:autoSpaceDE/>
              <w:autoSpaceDN/>
              <w:adjustRightInd/>
              <w:jc w:val="center"/>
              <w:rPr>
                <w:b/>
                <w:bCs/>
                <w:color w:val="000000"/>
                <w:sz w:val="22"/>
                <w:szCs w:val="22"/>
              </w:rPr>
            </w:pPr>
            <w:r w:rsidRPr="008F61CC">
              <w:rPr>
                <w:b/>
                <w:bCs/>
                <w:color w:val="000000"/>
                <w:sz w:val="22"/>
                <w:szCs w:val="22"/>
              </w:rPr>
              <w:t>Supplier</w:t>
            </w:r>
          </w:p>
        </w:tc>
        <w:tc>
          <w:tcPr>
            <w:tcW w:w="1304" w:type="dxa"/>
            <w:tcBorders>
              <w:top w:val="single" w:sz="8" w:space="0" w:color="auto"/>
              <w:left w:val="nil"/>
              <w:bottom w:val="single" w:sz="8" w:space="0" w:color="auto"/>
              <w:right w:val="nil"/>
            </w:tcBorders>
            <w:shd w:val="clear" w:color="auto" w:fill="auto"/>
            <w:vAlign w:val="center"/>
            <w:hideMark/>
          </w:tcPr>
          <w:p w14:paraId="26116729" w14:textId="77777777" w:rsidR="00CD1A9E" w:rsidRPr="008F61CC" w:rsidRDefault="00CD1A9E" w:rsidP="008F61CC">
            <w:pPr>
              <w:keepNext/>
              <w:keepLines/>
              <w:widowControl/>
              <w:autoSpaceDE/>
              <w:autoSpaceDN/>
              <w:adjustRightInd/>
              <w:jc w:val="center"/>
              <w:rPr>
                <w:b/>
                <w:bCs/>
                <w:color w:val="000000"/>
                <w:sz w:val="22"/>
                <w:szCs w:val="22"/>
              </w:rPr>
            </w:pPr>
            <w:r w:rsidRPr="008F61CC">
              <w:rPr>
                <w:b/>
                <w:bCs/>
                <w:color w:val="000000"/>
                <w:sz w:val="22"/>
                <w:szCs w:val="22"/>
              </w:rPr>
              <w:t>Total Complaints</w:t>
            </w:r>
          </w:p>
        </w:tc>
        <w:tc>
          <w:tcPr>
            <w:tcW w:w="1280" w:type="dxa"/>
            <w:tcBorders>
              <w:top w:val="single" w:sz="8" w:space="0" w:color="auto"/>
              <w:left w:val="nil"/>
              <w:bottom w:val="single" w:sz="8" w:space="0" w:color="auto"/>
              <w:right w:val="nil"/>
            </w:tcBorders>
            <w:shd w:val="clear" w:color="auto" w:fill="auto"/>
            <w:vAlign w:val="center"/>
            <w:hideMark/>
          </w:tcPr>
          <w:p w14:paraId="04AF483F" w14:textId="77777777" w:rsidR="00CD1A9E" w:rsidRPr="008F61CC" w:rsidRDefault="00CD1A9E" w:rsidP="008F61CC">
            <w:pPr>
              <w:keepNext/>
              <w:keepLines/>
              <w:widowControl/>
              <w:autoSpaceDE/>
              <w:autoSpaceDN/>
              <w:adjustRightInd/>
              <w:jc w:val="center"/>
              <w:rPr>
                <w:b/>
                <w:bCs/>
                <w:color w:val="000000"/>
                <w:sz w:val="22"/>
                <w:szCs w:val="22"/>
              </w:rPr>
            </w:pPr>
            <w:r w:rsidRPr="008F61CC">
              <w:rPr>
                <w:b/>
                <w:bCs/>
                <w:color w:val="000000"/>
                <w:sz w:val="22"/>
                <w:szCs w:val="22"/>
              </w:rPr>
              <w:t xml:space="preserve"> Total # of Customers </w:t>
            </w:r>
          </w:p>
        </w:tc>
        <w:tc>
          <w:tcPr>
            <w:tcW w:w="1304" w:type="dxa"/>
            <w:tcBorders>
              <w:top w:val="single" w:sz="8" w:space="0" w:color="auto"/>
              <w:left w:val="nil"/>
              <w:bottom w:val="single" w:sz="8" w:space="0" w:color="auto"/>
              <w:right w:val="nil"/>
            </w:tcBorders>
            <w:shd w:val="clear" w:color="auto" w:fill="auto"/>
            <w:vAlign w:val="center"/>
            <w:hideMark/>
          </w:tcPr>
          <w:p w14:paraId="53733CC7" w14:textId="77777777" w:rsidR="00CD1A9E" w:rsidRPr="008F61CC" w:rsidRDefault="00CD1A9E" w:rsidP="009C1547">
            <w:pPr>
              <w:keepNext/>
              <w:keepLines/>
              <w:widowControl/>
              <w:autoSpaceDE/>
              <w:autoSpaceDN/>
              <w:adjustRightInd/>
              <w:jc w:val="center"/>
              <w:rPr>
                <w:b/>
                <w:bCs/>
                <w:color w:val="000000"/>
                <w:sz w:val="22"/>
                <w:szCs w:val="22"/>
              </w:rPr>
            </w:pPr>
            <w:r w:rsidRPr="008F61CC">
              <w:rPr>
                <w:b/>
                <w:bCs/>
                <w:color w:val="000000"/>
                <w:sz w:val="22"/>
                <w:szCs w:val="22"/>
              </w:rPr>
              <w:t xml:space="preserve"># of </w:t>
            </w:r>
            <w:r w:rsidR="00E54ADF">
              <w:rPr>
                <w:b/>
                <w:bCs/>
                <w:color w:val="000000"/>
                <w:sz w:val="22"/>
                <w:szCs w:val="22"/>
              </w:rPr>
              <w:t>Senior</w:t>
            </w:r>
            <w:r w:rsidRPr="008F61CC">
              <w:rPr>
                <w:b/>
                <w:bCs/>
                <w:color w:val="000000"/>
                <w:sz w:val="22"/>
                <w:szCs w:val="22"/>
              </w:rPr>
              <w:t xml:space="preserve"> Complaints</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6EF785C" w14:textId="77777777" w:rsidR="00CD1A9E" w:rsidRPr="008F61CC" w:rsidRDefault="00CD1A9E" w:rsidP="009C1547">
            <w:pPr>
              <w:keepNext/>
              <w:keepLines/>
              <w:widowControl/>
              <w:autoSpaceDE/>
              <w:autoSpaceDN/>
              <w:adjustRightInd/>
              <w:jc w:val="center"/>
              <w:rPr>
                <w:b/>
                <w:bCs/>
                <w:color w:val="000000"/>
                <w:sz w:val="22"/>
                <w:szCs w:val="22"/>
              </w:rPr>
            </w:pPr>
            <w:r w:rsidRPr="008F61CC">
              <w:rPr>
                <w:b/>
                <w:bCs/>
                <w:color w:val="000000"/>
                <w:sz w:val="22"/>
                <w:szCs w:val="22"/>
              </w:rPr>
              <w:t xml:space="preserve">% of Complaints Relating to </w:t>
            </w:r>
            <w:r w:rsidR="00E54ADF">
              <w:rPr>
                <w:b/>
                <w:bCs/>
                <w:color w:val="000000"/>
                <w:sz w:val="22"/>
                <w:szCs w:val="22"/>
              </w:rPr>
              <w:t>Senior</w:t>
            </w:r>
            <w:r w:rsidRPr="008F61CC">
              <w:rPr>
                <w:b/>
                <w:bCs/>
                <w:color w:val="000000"/>
                <w:sz w:val="22"/>
                <w:szCs w:val="22"/>
              </w:rPr>
              <w:t xml:space="preserve">  Consumers</w:t>
            </w:r>
          </w:p>
        </w:tc>
      </w:tr>
      <w:tr w:rsidR="00CD1A9E" w:rsidRPr="008F61CC" w14:paraId="35D96CD6" w14:textId="77777777" w:rsidTr="00CD1A9E">
        <w:trPr>
          <w:trHeight w:val="400"/>
          <w:jc w:val="center"/>
        </w:trPr>
        <w:tc>
          <w:tcPr>
            <w:tcW w:w="2734" w:type="dxa"/>
            <w:tcBorders>
              <w:top w:val="nil"/>
              <w:left w:val="single" w:sz="8" w:space="0" w:color="auto"/>
              <w:bottom w:val="nil"/>
              <w:right w:val="nil"/>
            </w:tcBorders>
            <w:shd w:val="clear" w:color="auto" w:fill="auto"/>
            <w:noWrap/>
            <w:vAlign w:val="bottom"/>
            <w:hideMark/>
          </w:tcPr>
          <w:p w14:paraId="29BC373E"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Liberty Power</w:t>
            </w:r>
          </w:p>
        </w:tc>
        <w:tc>
          <w:tcPr>
            <w:tcW w:w="1304" w:type="dxa"/>
            <w:tcBorders>
              <w:top w:val="nil"/>
              <w:left w:val="nil"/>
              <w:bottom w:val="nil"/>
              <w:right w:val="nil"/>
            </w:tcBorders>
            <w:shd w:val="clear" w:color="auto" w:fill="auto"/>
            <w:noWrap/>
            <w:vAlign w:val="bottom"/>
            <w:hideMark/>
          </w:tcPr>
          <w:p w14:paraId="34A014E0"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19</w:t>
            </w:r>
          </w:p>
        </w:tc>
        <w:tc>
          <w:tcPr>
            <w:tcW w:w="1280" w:type="dxa"/>
            <w:tcBorders>
              <w:top w:val="nil"/>
              <w:left w:val="nil"/>
              <w:bottom w:val="nil"/>
              <w:right w:val="nil"/>
            </w:tcBorders>
            <w:shd w:val="clear" w:color="auto" w:fill="auto"/>
            <w:noWrap/>
            <w:vAlign w:val="bottom"/>
            <w:hideMark/>
          </w:tcPr>
          <w:p w14:paraId="7C4D968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2,755 </w:t>
            </w:r>
          </w:p>
        </w:tc>
        <w:tc>
          <w:tcPr>
            <w:tcW w:w="1304" w:type="dxa"/>
            <w:tcBorders>
              <w:top w:val="nil"/>
              <w:left w:val="nil"/>
              <w:bottom w:val="nil"/>
              <w:right w:val="nil"/>
            </w:tcBorders>
            <w:shd w:val="clear" w:color="auto" w:fill="auto"/>
            <w:noWrap/>
            <w:vAlign w:val="bottom"/>
            <w:hideMark/>
          </w:tcPr>
          <w:p w14:paraId="4795ED3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w:t>
            </w:r>
          </w:p>
        </w:tc>
        <w:tc>
          <w:tcPr>
            <w:tcW w:w="1420" w:type="dxa"/>
            <w:tcBorders>
              <w:top w:val="nil"/>
              <w:left w:val="nil"/>
              <w:bottom w:val="nil"/>
              <w:right w:val="single" w:sz="8" w:space="0" w:color="auto"/>
            </w:tcBorders>
            <w:shd w:val="clear" w:color="auto" w:fill="auto"/>
            <w:noWrap/>
            <w:vAlign w:val="bottom"/>
            <w:hideMark/>
          </w:tcPr>
          <w:p w14:paraId="5DB9A41A"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11%</w:t>
            </w:r>
          </w:p>
        </w:tc>
      </w:tr>
      <w:tr w:rsidR="00CD1A9E" w:rsidRPr="008F61CC" w14:paraId="6BE10F73"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71311D17"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HOP Energy LLC</w:t>
            </w:r>
          </w:p>
        </w:tc>
        <w:tc>
          <w:tcPr>
            <w:tcW w:w="1304" w:type="dxa"/>
            <w:tcBorders>
              <w:top w:val="nil"/>
              <w:left w:val="nil"/>
              <w:bottom w:val="nil"/>
              <w:right w:val="nil"/>
            </w:tcBorders>
            <w:shd w:val="clear" w:color="auto" w:fill="auto"/>
            <w:noWrap/>
            <w:vAlign w:val="bottom"/>
            <w:hideMark/>
          </w:tcPr>
          <w:p w14:paraId="0435E2E9"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6</w:t>
            </w:r>
          </w:p>
        </w:tc>
        <w:tc>
          <w:tcPr>
            <w:tcW w:w="1280" w:type="dxa"/>
            <w:tcBorders>
              <w:top w:val="nil"/>
              <w:left w:val="nil"/>
              <w:bottom w:val="nil"/>
              <w:right w:val="nil"/>
            </w:tcBorders>
            <w:shd w:val="clear" w:color="auto" w:fill="auto"/>
            <w:noWrap/>
            <w:vAlign w:val="bottom"/>
            <w:hideMark/>
          </w:tcPr>
          <w:p w14:paraId="224EB95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3,614 </w:t>
            </w:r>
          </w:p>
        </w:tc>
        <w:tc>
          <w:tcPr>
            <w:tcW w:w="1304" w:type="dxa"/>
            <w:tcBorders>
              <w:top w:val="nil"/>
              <w:left w:val="nil"/>
              <w:bottom w:val="nil"/>
              <w:right w:val="nil"/>
            </w:tcBorders>
            <w:shd w:val="clear" w:color="auto" w:fill="auto"/>
            <w:noWrap/>
            <w:vAlign w:val="bottom"/>
            <w:hideMark/>
          </w:tcPr>
          <w:p w14:paraId="41284CDD"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w:t>
            </w:r>
          </w:p>
        </w:tc>
        <w:tc>
          <w:tcPr>
            <w:tcW w:w="1420" w:type="dxa"/>
            <w:tcBorders>
              <w:top w:val="nil"/>
              <w:left w:val="nil"/>
              <w:bottom w:val="nil"/>
              <w:right w:val="single" w:sz="8" w:space="0" w:color="auto"/>
            </w:tcBorders>
            <w:shd w:val="clear" w:color="auto" w:fill="auto"/>
            <w:noWrap/>
            <w:vAlign w:val="bottom"/>
            <w:hideMark/>
          </w:tcPr>
          <w:p w14:paraId="42199E77"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33%</w:t>
            </w:r>
          </w:p>
        </w:tc>
      </w:tr>
      <w:tr w:rsidR="00CD1A9E" w:rsidRPr="008F61CC" w14:paraId="34601692"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341A8EE9" w14:textId="77777777" w:rsidR="00CD1A9E" w:rsidRPr="008F61CC" w:rsidRDefault="00CD1A9E" w:rsidP="008F61CC">
            <w:pPr>
              <w:keepNext/>
              <w:keepLines/>
              <w:widowControl/>
              <w:autoSpaceDE/>
              <w:autoSpaceDN/>
              <w:adjustRightInd/>
              <w:rPr>
                <w:color w:val="000000"/>
                <w:sz w:val="20"/>
                <w:szCs w:val="20"/>
              </w:rPr>
            </w:pPr>
            <w:r w:rsidRPr="00945351">
              <w:rPr>
                <w:color w:val="000000"/>
                <w:sz w:val="20"/>
                <w:szCs w:val="20"/>
              </w:rPr>
              <w:t>Clearview</w:t>
            </w:r>
          </w:p>
        </w:tc>
        <w:tc>
          <w:tcPr>
            <w:tcW w:w="1304" w:type="dxa"/>
            <w:tcBorders>
              <w:top w:val="nil"/>
              <w:left w:val="nil"/>
              <w:bottom w:val="nil"/>
              <w:right w:val="nil"/>
            </w:tcBorders>
            <w:shd w:val="clear" w:color="auto" w:fill="auto"/>
            <w:noWrap/>
            <w:vAlign w:val="bottom"/>
            <w:hideMark/>
          </w:tcPr>
          <w:p w14:paraId="79E95C47"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41</w:t>
            </w:r>
          </w:p>
        </w:tc>
        <w:tc>
          <w:tcPr>
            <w:tcW w:w="1280" w:type="dxa"/>
            <w:tcBorders>
              <w:top w:val="nil"/>
              <w:left w:val="nil"/>
              <w:bottom w:val="nil"/>
              <w:right w:val="nil"/>
            </w:tcBorders>
            <w:shd w:val="clear" w:color="auto" w:fill="auto"/>
            <w:noWrap/>
            <w:vAlign w:val="bottom"/>
            <w:hideMark/>
          </w:tcPr>
          <w:p w14:paraId="0886159E"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13,325 </w:t>
            </w:r>
          </w:p>
        </w:tc>
        <w:tc>
          <w:tcPr>
            <w:tcW w:w="1304" w:type="dxa"/>
            <w:tcBorders>
              <w:top w:val="nil"/>
              <w:left w:val="nil"/>
              <w:bottom w:val="nil"/>
              <w:right w:val="nil"/>
            </w:tcBorders>
            <w:shd w:val="clear" w:color="auto" w:fill="auto"/>
            <w:noWrap/>
            <w:vAlign w:val="bottom"/>
            <w:hideMark/>
          </w:tcPr>
          <w:p w14:paraId="1AF811C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w:t>
            </w:r>
          </w:p>
        </w:tc>
        <w:tc>
          <w:tcPr>
            <w:tcW w:w="1420" w:type="dxa"/>
            <w:tcBorders>
              <w:top w:val="nil"/>
              <w:left w:val="nil"/>
              <w:bottom w:val="nil"/>
              <w:right w:val="single" w:sz="8" w:space="0" w:color="auto"/>
            </w:tcBorders>
            <w:shd w:val="clear" w:color="auto" w:fill="auto"/>
            <w:noWrap/>
            <w:vAlign w:val="bottom"/>
            <w:hideMark/>
          </w:tcPr>
          <w:p w14:paraId="39CE24A1"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17%</w:t>
            </w:r>
          </w:p>
        </w:tc>
      </w:tr>
      <w:tr w:rsidR="00CD1A9E" w:rsidRPr="008F61CC" w14:paraId="19673F71"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654EAFF6"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CT Gas &amp; Electric</w:t>
            </w:r>
          </w:p>
        </w:tc>
        <w:tc>
          <w:tcPr>
            <w:tcW w:w="1304" w:type="dxa"/>
            <w:tcBorders>
              <w:top w:val="nil"/>
              <w:left w:val="nil"/>
              <w:bottom w:val="nil"/>
              <w:right w:val="nil"/>
            </w:tcBorders>
            <w:shd w:val="clear" w:color="auto" w:fill="auto"/>
            <w:noWrap/>
            <w:vAlign w:val="bottom"/>
            <w:hideMark/>
          </w:tcPr>
          <w:p w14:paraId="16C150CE"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26</w:t>
            </w:r>
          </w:p>
        </w:tc>
        <w:tc>
          <w:tcPr>
            <w:tcW w:w="1280" w:type="dxa"/>
            <w:tcBorders>
              <w:top w:val="nil"/>
              <w:left w:val="nil"/>
              <w:bottom w:val="nil"/>
              <w:right w:val="nil"/>
            </w:tcBorders>
            <w:shd w:val="clear" w:color="auto" w:fill="auto"/>
            <w:noWrap/>
            <w:vAlign w:val="bottom"/>
            <w:hideMark/>
          </w:tcPr>
          <w:p w14:paraId="1145998C"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6,693 </w:t>
            </w:r>
          </w:p>
        </w:tc>
        <w:tc>
          <w:tcPr>
            <w:tcW w:w="1304" w:type="dxa"/>
            <w:tcBorders>
              <w:top w:val="nil"/>
              <w:left w:val="nil"/>
              <w:bottom w:val="nil"/>
              <w:right w:val="nil"/>
            </w:tcBorders>
            <w:shd w:val="clear" w:color="auto" w:fill="auto"/>
            <w:noWrap/>
            <w:vAlign w:val="bottom"/>
            <w:hideMark/>
          </w:tcPr>
          <w:p w14:paraId="362057DE"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3</w:t>
            </w:r>
          </w:p>
        </w:tc>
        <w:tc>
          <w:tcPr>
            <w:tcW w:w="1420" w:type="dxa"/>
            <w:tcBorders>
              <w:top w:val="nil"/>
              <w:left w:val="nil"/>
              <w:bottom w:val="nil"/>
              <w:right w:val="single" w:sz="8" w:space="0" w:color="auto"/>
            </w:tcBorders>
            <w:shd w:val="clear" w:color="auto" w:fill="auto"/>
            <w:noWrap/>
            <w:vAlign w:val="bottom"/>
            <w:hideMark/>
          </w:tcPr>
          <w:p w14:paraId="11D7A87B"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12%</w:t>
            </w:r>
          </w:p>
        </w:tc>
      </w:tr>
      <w:tr w:rsidR="00CD1A9E" w:rsidRPr="008F61CC" w14:paraId="1779A245"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28F993D7"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Palmco Power</w:t>
            </w:r>
          </w:p>
        </w:tc>
        <w:tc>
          <w:tcPr>
            <w:tcW w:w="1304" w:type="dxa"/>
            <w:tcBorders>
              <w:top w:val="nil"/>
              <w:left w:val="nil"/>
              <w:bottom w:val="nil"/>
              <w:right w:val="nil"/>
            </w:tcBorders>
            <w:shd w:val="clear" w:color="auto" w:fill="auto"/>
            <w:noWrap/>
            <w:vAlign w:val="bottom"/>
            <w:hideMark/>
          </w:tcPr>
          <w:p w14:paraId="09A96504"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21</w:t>
            </w:r>
          </w:p>
        </w:tc>
        <w:tc>
          <w:tcPr>
            <w:tcW w:w="1280" w:type="dxa"/>
            <w:tcBorders>
              <w:top w:val="nil"/>
              <w:left w:val="nil"/>
              <w:bottom w:val="nil"/>
              <w:right w:val="nil"/>
            </w:tcBorders>
            <w:shd w:val="clear" w:color="auto" w:fill="auto"/>
            <w:noWrap/>
            <w:vAlign w:val="bottom"/>
            <w:hideMark/>
          </w:tcPr>
          <w:p w14:paraId="42950FFD"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6,975 </w:t>
            </w:r>
          </w:p>
        </w:tc>
        <w:tc>
          <w:tcPr>
            <w:tcW w:w="1304" w:type="dxa"/>
            <w:tcBorders>
              <w:top w:val="nil"/>
              <w:left w:val="nil"/>
              <w:bottom w:val="nil"/>
              <w:right w:val="nil"/>
            </w:tcBorders>
            <w:shd w:val="clear" w:color="auto" w:fill="auto"/>
            <w:noWrap/>
            <w:vAlign w:val="bottom"/>
            <w:hideMark/>
          </w:tcPr>
          <w:p w14:paraId="6B9325F7"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3</w:t>
            </w:r>
          </w:p>
        </w:tc>
        <w:tc>
          <w:tcPr>
            <w:tcW w:w="1420" w:type="dxa"/>
            <w:tcBorders>
              <w:top w:val="nil"/>
              <w:left w:val="nil"/>
              <w:bottom w:val="nil"/>
              <w:right w:val="single" w:sz="8" w:space="0" w:color="auto"/>
            </w:tcBorders>
            <w:shd w:val="clear" w:color="auto" w:fill="auto"/>
            <w:noWrap/>
            <w:vAlign w:val="bottom"/>
            <w:hideMark/>
          </w:tcPr>
          <w:p w14:paraId="07245265"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14%</w:t>
            </w:r>
          </w:p>
        </w:tc>
      </w:tr>
      <w:tr w:rsidR="00CD1A9E" w:rsidRPr="008F61CC" w14:paraId="3972A0C5"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3052DFAC"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Starion</w:t>
            </w:r>
          </w:p>
        </w:tc>
        <w:tc>
          <w:tcPr>
            <w:tcW w:w="1304" w:type="dxa"/>
            <w:tcBorders>
              <w:top w:val="nil"/>
              <w:left w:val="nil"/>
              <w:bottom w:val="nil"/>
              <w:right w:val="nil"/>
            </w:tcBorders>
            <w:shd w:val="clear" w:color="auto" w:fill="auto"/>
            <w:noWrap/>
            <w:vAlign w:val="bottom"/>
            <w:hideMark/>
          </w:tcPr>
          <w:p w14:paraId="765BA29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190</w:t>
            </w:r>
          </w:p>
        </w:tc>
        <w:tc>
          <w:tcPr>
            <w:tcW w:w="1280" w:type="dxa"/>
            <w:tcBorders>
              <w:top w:val="nil"/>
              <w:left w:val="nil"/>
              <w:bottom w:val="nil"/>
              <w:right w:val="nil"/>
            </w:tcBorders>
            <w:shd w:val="clear" w:color="auto" w:fill="auto"/>
            <w:noWrap/>
            <w:vAlign w:val="bottom"/>
            <w:hideMark/>
          </w:tcPr>
          <w:p w14:paraId="3478BA1E"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26,258 </w:t>
            </w:r>
          </w:p>
        </w:tc>
        <w:tc>
          <w:tcPr>
            <w:tcW w:w="1304" w:type="dxa"/>
            <w:tcBorders>
              <w:top w:val="nil"/>
              <w:left w:val="nil"/>
              <w:bottom w:val="nil"/>
              <w:right w:val="nil"/>
            </w:tcBorders>
            <w:shd w:val="clear" w:color="auto" w:fill="auto"/>
            <w:noWrap/>
            <w:vAlign w:val="bottom"/>
            <w:hideMark/>
          </w:tcPr>
          <w:p w14:paraId="1688ED2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10</w:t>
            </w:r>
          </w:p>
        </w:tc>
        <w:tc>
          <w:tcPr>
            <w:tcW w:w="1420" w:type="dxa"/>
            <w:tcBorders>
              <w:top w:val="nil"/>
              <w:left w:val="nil"/>
              <w:bottom w:val="nil"/>
              <w:right w:val="single" w:sz="8" w:space="0" w:color="auto"/>
            </w:tcBorders>
            <w:shd w:val="clear" w:color="auto" w:fill="auto"/>
            <w:noWrap/>
            <w:vAlign w:val="bottom"/>
            <w:hideMark/>
          </w:tcPr>
          <w:p w14:paraId="1DFE223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5%</w:t>
            </w:r>
          </w:p>
        </w:tc>
      </w:tr>
      <w:tr w:rsidR="00CD1A9E" w:rsidRPr="008F61CC" w14:paraId="2DD3E706"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7D8E7FC7"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Spark</w:t>
            </w:r>
          </w:p>
        </w:tc>
        <w:tc>
          <w:tcPr>
            <w:tcW w:w="1304" w:type="dxa"/>
            <w:tcBorders>
              <w:top w:val="nil"/>
              <w:left w:val="nil"/>
              <w:bottom w:val="nil"/>
              <w:right w:val="nil"/>
            </w:tcBorders>
            <w:shd w:val="clear" w:color="auto" w:fill="auto"/>
            <w:noWrap/>
            <w:vAlign w:val="bottom"/>
            <w:hideMark/>
          </w:tcPr>
          <w:p w14:paraId="5EC8E9CE"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w:t>
            </w:r>
          </w:p>
        </w:tc>
        <w:tc>
          <w:tcPr>
            <w:tcW w:w="1280" w:type="dxa"/>
            <w:tcBorders>
              <w:top w:val="nil"/>
              <w:left w:val="nil"/>
              <w:bottom w:val="nil"/>
              <w:right w:val="nil"/>
            </w:tcBorders>
            <w:shd w:val="clear" w:color="auto" w:fill="auto"/>
            <w:noWrap/>
            <w:vAlign w:val="bottom"/>
            <w:hideMark/>
          </w:tcPr>
          <w:p w14:paraId="5CBE6F0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6,817 </w:t>
            </w:r>
          </w:p>
        </w:tc>
        <w:tc>
          <w:tcPr>
            <w:tcW w:w="1304" w:type="dxa"/>
            <w:tcBorders>
              <w:top w:val="nil"/>
              <w:left w:val="nil"/>
              <w:bottom w:val="nil"/>
              <w:right w:val="nil"/>
            </w:tcBorders>
            <w:shd w:val="clear" w:color="auto" w:fill="auto"/>
            <w:noWrap/>
            <w:vAlign w:val="bottom"/>
            <w:hideMark/>
          </w:tcPr>
          <w:p w14:paraId="10B76985"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w:t>
            </w:r>
          </w:p>
        </w:tc>
        <w:tc>
          <w:tcPr>
            <w:tcW w:w="1420" w:type="dxa"/>
            <w:tcBorders>
              <w:top w:val="nil"/>
              <w:left w:val="nil"/>
              <w:bottom w:val="nil"/>
              <w:right w:val="single" w:sz="8" w:space="0" w:color="auto"/>
            </w:tcBorders>
            <w:shd w:val="clear" w:color="auto" w:fill="auto"/>
            <w:noWrap/>
            <w:vAlign w:val="bottom"/>
            <w:hideMark/>
          </w:tcPr>
          <w:p w14:paraId="6757C956"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50%</w:t>
            </w:r>
          </w:p>
        </w:tc>
      </w:tr>
      <w:tr w:rsidR="00CD1A9E" w:rsidRPr="008F61CC" w14:paraId="4B111871"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3552918B" w14:textId="77777777" w:rsidR="00CD1A9E" w:rsidRPr="00FF5D75" w:rsidRDefault="00CD1A9E" w:rsidP="008F61CC">
            <w:pPr>
              <w:keepNext/>
              <w:keepLines/>
              <w:widowControl/>
              <w:autoSpaceDE/>
              <w:autoSpaceDN/>
              <w:adjustRightInd/>
              <w:rPr>
                <w:color w:val="000000"/>
                <w:sz w:val="20"/>
                <w:szCs w:val="20"/>
              </w:rPr>
            </w:pPr>
            <w:r w:rsidRPr="00FF5D75">
              <w:rPr>
                <w:color w:val="000000"/>
                <w:sz w:val="20"/>
                <w:szCs w:val="20"/>
              </w:rPr>
              <w:t>Public Power &amp; Utility</w:t>
            </w:r>
          </w:p>
        </w:tc>
        <w:tc>
          <w:tcPr>
            <w:tcW w:w="1304" w:type="dxa"/>
            <w:tcBorders>
              <w:top w:val="nil"/>
              <w:left w:val="nil"/>
              <w:bottom w:val="nil"/>
              <w:right w:val="nil"/>
            </w:tcBorders>
            <w:shd w:val="clear" w:color="auto" w:fill="auto"/>
            <w:noWrap/>
            <w:vAlign w:val="bottom"/>
            <w:hideMark/>
          </w:tcPr>
          <w:p w14:paraId="3BA65C76"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133</w:t>
            </w:r>
          </w:p>
        </w:tc>
        <w:tc>
          <w:tcPr>
            <w:tcW w:w="1280" w:type="dxa"/>
            <w:tcBorders>
              <w:top w:val="nil"/>
              <w:left w:val="nil"/>
              <w:bottom w:val="nil"/>
              <w:right w:val="nil"/>
            </w:tcBorders>
            <w:shd w:val="clear" w:color="auto" w:fill="auto"/>
            <w:noWrap/>
            <w:vAlign w:val="bottom"/>
            <w:hideMark/>
          </w:tcPr>
          <w:p w14:paraId="7835E1F9"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82,089 </w:t>
            </w:r>
          </w:p>
        </w:tc>
        <w:tc>
          <w:tcPr>
            <w:tcW w:w="1304" w:type="dxa"/>
            <w:tcBorders>
              <w:top w:val="nil"/>
              <w:left w:val="nil"/>
              <w:bottom w:val="nil"/>
              <w:right w:val="nil"/>
            </w:tcBorders>
            <w:shd w:val="clear" w:color="auto" w:fill="auto"/>
            <w:noWrap/>
            <w:vAlign w:val="bottom"/>
            <w:hideMark/>
          </w:tcPr>
          <w:p w14:paraId="462AF5C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12</w:t>
            </w:r>
          </w:p>
        </w:tc>
        <w:tc>
          <w:tcPr>
            <w:tcW w:w="1420" w:type="dxa"/>
            <w:tcBorders>
              <w:top w:val="nil"/>
              <w:left w:val="nil"/>
              <w:bottom w:val="nil"/>
              <w:right w:val="single" w:sz="8" w:space="0" w:color="auto"/>
            </w:tcBorders>
            <w:shd w:val="clear" w:color="auto" w:fill="auto"/>
            <w:noWrap/>
            <w:vAlign w:val="bottom"/>
            <w:hideMark/>
          </w:tcPr>
          <w:p w14:paraId="7922E751"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9%</w:t>
            </w:r>
          </w:p>
        </w:tc>
      </w:tr>
      <w:tr w:rsidR="00CD1A9E" w:rsidRPr="008F61CC" w14:paraId="4E702017"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69E3975E" w14:textId="77777777" w:rsidR="00CD1A9E" w:rsidRPr="00097C23" w:rsidRDefault="00CD1A9E" w:rsidP="008F61CC">
            <w:pPr>
              <w:keepNext/>
              <w:keepLines/>
              <w:widowControl/>
              <w:autoSpaceDE/>
              <w:autoSpaceDN/>
              <w:adjustRightInd/>
              <w:rPr>
                <w:color w:val="000000"/>
                <w:sz w:val="20"/>
                <w:szCs w:val="20"/>
              </w:rPr>
            </w:pPr>
            <w:r w:rsidRPr="00FF5D75">
              <w:rPr>
                <w:color w:val="000000"/>
                <w:sz w:val="20"/>
                <w:szCs w:val="20"/>
              </w:rPr>
              <w:t>Direct Energy</w:t>
            </w:r>
          </w:p>
        </w:tc>
        <w:tc>
          <w:tcPr>
            <w:tcW w:w="1304" w:type="dxa"/>
            <w:tcBorders>
              <w:top w:val="nil"/>
              <w:left w:val="nil"/>
              <w:bottom w:val="nil"/>
              <w:right w:val="nil"/>
            </w:tcBorders>
            <w:shd w:val="clear" w:color="auto" w:fill="auto"/>
            <w:noWrap/>
            <w:vAlign w:val="bottom"/>
            <w:hideMark/>
          </w:tcPr>
          <w:p w14:paraId="5B32D5B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77</w:t>
            </w:r>
          </w:p>
        </w:tc>
        <w:tc>
          <w:tcPr>
            <w:tcW w:w="1280" w:type="dxa"/>
            <w:tcBorders>
              <w:top w:val="nil"/>
              <w:left w:val="nil"/>
              <w:bottom w:val="nil"/>
              <w:right w:val="nil"/>
            </w:tcBorders>
            <w:shd w:val="clear" w:color="auto" w:fill="auto"/>
            <w:noWrap/>
            <w:vAlign w:val="bottom"/>
            <w:hideMark/>
          </w:tcPr>
          <w:p w14:paraId="483D2B17"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77,120 </w:t>
            </w:r>
          </w:p>
        </w:tc>
        <w:tc>
          <w:tcPr>
            <w:tcW w:w="1304" w:type="dxa"/>
            <w:tcBorders>
              <w:top w:val="nil"/>
              <w:left w:val="nil"/>
              <w:bottom w:val="nil"/>
              <w:right w:val="nil"/>
            </w:tcBorders>
            <w:shd w:val="clear" w:color="auto" w:fill="auto"/>
            <w:noWrap/>
            <w:vAlign w:val="bottom"/>
            <w:hideMark/>
          </w:tcPr>
          <w:p w14:paraId="6DAADCE1"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11</w:t>
            </w:r>
          </w:p>
        </w:tc>
        <w:tc>
          <w:tcPr>
            <w:tcW w:w="1420" w:type="dxa"/>
            <w:tcBorders>
              <w:top w:val="nil"/>
              <w:left w:val="nil"/>
              <w:bottom w:val="nil"/>
              <w:right w:val="single" w:sz="8" w:space="0" w:color="auto"/>
            </w:tcBorders>
            <w:shd w:val="clear" w:color="auto" w:fill="auto"/>
            <w:noWrap/>
            <w:vAlign w:val="bottom"/>
            <w:hideMark/>
          </w:tcPr>
          <w:p w14:paraId="4EE8A789"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14%</w:t>
            </w:r>
          </w:p>
        </w:tc>
      </w:tr>
      <w:tr w:rsidR="00CD1A9E" w:rsidRPr="008F61CC" w14:paraId="3D250B96"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3E8BECB8"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North American Power &amp; Gas</w:t>
            </w:r>
          </w:p>
        </w:tc>
        <w:tc>
          <w:tcPr>
            <w:tcW w:w="1304" w:type="dxa"/>
            <w:tcBorders>
              <w:top w:val="nil"/>
              <w:left w:val="nil"/>
              <w:bottom w:val="nil"/>
              <w:right w:val="nil"/>
            </w:tcBorders>
            <w:shd w:val="clear" w:color="auto" w:fill="auto"/>
            <w:noWrap/>
            <w:vAlign w:val="bottom"/>
            <w:hideMark/>
          </w:tcPr>
          <w:p w14:paraId="19052AE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79</w:t>
            </w:r>
          </w:p>
        </w:tc>
        <w:tc>
          <w:tcPr>
            <w:tcW w:w="1280" w:type="dxa"/>
            <w:tcBorders>
              <w:top w:val="nil"/>
              <w:left w:val="nil"/>
              <w:bottom w:val="nil"/>
              <w:right w:val="nil"/>
            </w:tcBorders>
            <w:shd w:val="clear" w:color="auto" w:fill="auto"/>
            <w:noWrap/>
            <w:vAlign w:val="bottom"/>
            <w:hideMark/>
          </w:tcPr>
          <w:p w14:paraId="764CCF5D"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56,406 </w:t>
            </w:r>
          </w:p>
        </w:tc>
        <w:tc>
          <w:tcPr>
            <w:tcW w:w="1304" w:type="dxa"/>
            <w:tcBorders>
              <w:top w:val="nil"/>
              <w:left w:val="nil"/>
              <w:bottom w:val="nil"/>
              <w:right w:val="nil"/>
            </w:tcBorders>
            <w:shd w:val="clear" w:color="auto" w:fill="auto"/>
            <w:noWrap/>
            <w:vAlign w:val="bottom"/>
            <w:hideMark/>
          </w:tcPr>
          <w:p w14:paraId="7BBC19FE"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w:t>
            </w:r>
          </w:p>
        </w:tc>
        <w:tc>
          <w:tcPr>
            <w:tcW w:w="1420" w:type="dxa"/>
            <w:tcBorders>
              <w:top w:val="nil"/>
              <w:left w:val="nil"/>
              <w:bottom w:val="nil"/>
              <w:right w:val="single" w:sz="8" w:space="0" w:color="auto"/>
            </w:tcBorders>
            <w:shd w:val="clear" w:color="auto" w:fill="auto"/>
            <w:noWrap/>
            <w:vAlign w:val="bottom"/>
            <w:hideMark/>
          </w:tcPr>
          <w:p w14:paraId="7A3E252C"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9%</w:t>
            </w:r>
          </w:p>
        </w:tc>
      </w:tr>
      <w:tr w:rsidR="00CD1A9E" w:rsidRPr="008F61CC" w14:paraId="6CD635C8"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513A440C"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Choice</w:t>
            </w:r>
          </w:p>
        </w:tc>
        <w:tc>
          <w:tcPr>
            <w:tcW w:w="1304" w:type="dxa"/>
            <w:tcBorders>
              <w:top w:val="nil"/>
              <w:left w:val="nil"/>
              <w:bottom w:val="nil"/>
              <w:right w:val="nil"/>
            </w:tcBorders>
            <w:shd w:val="clear" w:color="auto" w:fill="auto"/>
            <w:noWrap/>
            <w:vAlign w:val="bottom"/>
            <w:hideMark/>
          </w:tcPr>
          <w:p w14:paraId="43514FE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34</w:t>
            </w:r>
          </w:p>
        </w:tc>
        <w:tc>
          <w:tcPr>
            <w:tcW w:w="1280" w:type="dxa"/>
            <w:tcBorders>
              <w:top w:val="nil"/>
              <w:left w:val="nil"/>
              <w:bottom w:val="nil"/>
              <w:right w:val="nil"/>
            </w:tcBorders>
            <w:shd w:val="clear" w:color="auto" w:fill="auto"/>
            <w:noWrap/>
            <w:vAlign w:val="bottom"/>
            <w:hideMark/>
          </w:tcPr>
          <w:p w14:paraId="217459EB"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13,036 </w:t>
            </w:r>
          </w:p>
        </w:tc>
        <w:tc>
          <w:tcPr>
            <w:tcW w:w="1304" w:type="dxa"/>
            <w:tcBorders>
              <w:top w:val="nil"/>
              <w:left w:val="nil"/>
              <w:bottom w:val="nil"/>
              <w:right w:val="nil"/>
            </w:tcBorders>
            <w:shd w:val="clear" w:color="auto" w:fill="auto"/>
            <w:noWrap/>
            <w:vAlign w:val="bottom"/>
            <w:hideMark/>
          </w:tcPr>
          <w:p w14:paraId="07AA5AE6"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w:t>
            </w:r>
          </w:p>
        </w:tc>
        <w:tc>
          <w:tcPr>
            <w:tcW w:w="1420" w:type="dxa"/>
            <w:tcBorders>
              <w:top w:val="nil"/>
              <w:left w:val="nil"/>
              <w:bottom w:val="nil"/>
              <w:right w:val="single" w:sz="8" w:space="0" w:color="auto"/>
            </w:tcBorders>
            <w:shd w:val="clear" w:color="auto" w:fill="auto"/>
            <w:noWrap/>
            <w:vAlign w:val="bottom"/>
            <w:hideMark/>
          </w:tcPr>
          <w:p w14:paraId="2D6DEAD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3%</w:t>
            </w:r>
          </w:p>
        </w:tc>
      </w:tr>
      <w:tr w:rsidR="00CD1A9E" w:rsidRPr="008F61CC" w14:paraId="32A0A260"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70DA1C09"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Constellation</w:t>
            </w:r>
          </w:p>
        </w:tc>
        <w:tc>
          <w:tcPr>
            <w:tcW w:w="1304" w:type="dxa"/>
            <w:tcBorders>
              <w:top w:val="nil"/>
              <w:left w:val="nil"/>
              <w:bottom w:val="nil"/>
              <w:right w:val="nil"/>
            </w:tcBorders>
            <w:shd w:val="clear" w:color="auto" w:fill="auto"/>
            <w:noWrap/>
            <w:vAlign w:val="bottom"/>
            <w:hideMark/>
          </w:tcPr>
          <w:p w14:paraId="7A72722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27</w:t>
            </w:r>
          </w:p>
        </w:tc>
        <w:tc>
          <w:tcPr>
            <w:tcW w:w="1280" w:type="dxa"/>
            <w:tcBorders>
              <w:top w:val="nil"/>
              <w:left w:val="nil"/>
              <w:bottom w:val="nil"/>
              <w:right w:val="nil"/>
            </w:tcBorders>
            <w:shd w:val="clear" w:color="auto" w:fill="auto"/>
            <w:noWrap/>
            <w:vAlign w:val="bottom"/>
            <w:hideMark/>
          </w:tcPr>
          <w:p w14:paraId="1391A61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27,121 </w:t>
            </w:r>
          </w:p>
        </w:tc>
        <w:tc>
          <w:tcPr>
            <w:tcW w:w="1304" w:type="dxa"/>
            <w:tcBorders>
              <w:top w:val="nil"/>
              <w:left w:val="nil"/>
              <w:bottom w:val="nil"/>
              <w:right w:val="nil"/>
            </w:tcBorders>
            <w:shd w:val="clear" w:color="auto" w:fill="auto"/>
            <w:noWrap/>
            <w:vAlign w:val="bottom"/>
            <w:hideMark/>
          </w:tcPr>
          <w:p w14:paraId="559CD608"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w:t>
            </w:r>
          </w:p>
        </w:tc>
        <w:tc>
          <w:tcPr>
            <w:tcW w:w="1420" w:type="dxa"/>
            <w:tcBorders>
              <w:top w:val="nil"/>
              <w:left w:val="nil"/>
              <w:bottom w:val="nil"/>
              <w:right w:val="single" w:sz="8" w:space="0" w:color="auto"/>
            </w:tcBorders>
            <w:shd w:val="clear" w:color="auto" w:fill="auto"/>
            <w:noWrap/>
            <w:vAlign w:val="bottom"/>
            <w:hideMark/>
          </w:tcPr>
          <w:p w14:paraId="7CCBD468"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w:t>
            </w:r>
          </w:p>
        </w:tc>
      </w:tr>
      <w:tr w:rsidR="00CD1A9E" w:rsidRPr="008F61CC" w14:paraId="0C052610"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57821BCF"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Discount Power, Inc.</w:t>
            </w:r>
          </w:p>
        </w:tc>
        <w:tc>
          <w:tcPr>
            <w:tcW w:w="1304" w:type="dxa"/>
            <w:tcBorders>
              <w:top w:val="nil"/>
              <w:left w:val="nil"/>
              <w:bottom w:val="nil"/>
              <w:right w:val="nil"/>
            </w:tcBorders>
            <w:shd w:val="clear" w:color="auto" w:fill="auto"/>
            <w:noWrap/>
            <w:vAlign w:val="bottom"/>
            <w:hideMark/>
          </w:tcPr>
          <w:p w14:paraId="3571B35C"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29</w:t>
            </w:r>
          </w:p>
        </w:tc>
        <w:tc>
          <w:tcPr>
            <w:tcW w:w="1280" w:type="dxa"/>
            <w:tcBorders>
              <w:top w:val="nil"/>
              <w:left w:val="nil"/>
              <w:bottom w:val="nil"/>
              <w:right w:val="nil"/>
            </w:tcBorders>
            <w:shd w:val="clear" w:color="auto" w:fill="auto"/>
            <w:noWrap/>
            <w:vAlign w:val="bottom"/>
            <w:hideMark/>
          </w:tcPr>
          <w:p w14:paraId="65FA9E1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32,088 </w:t>
            </w:r>
          </w:p>
        </w:tc>
        <w:tc>
          <w:tcPr>
            <w:tcW w:w="1304" w:type="dxa"/>
            <w:tcBorders>
              <w:top w:val="nil"/>
              <w:left w:val="nil"/>
              <w:bottom w:val="nil"/>
              <w:right w:val="nil"/>
            </w:tcBorders>
            <w:shd w:val="clear" w:color="auto" w:fill="auto"/>
            <w:noWrap/>
            <w:vAlign w:val="bottom"/>
            <w:hideMark/>
          </w:tcPr>
          <w:p w14:paraId="5A90F2F6"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w:t>
            </w:r>
          </w:p>
        </w:tc>
        <w:tc>
          <w:tcPr>
            <w:tcW w:w="1420" w:type="dxa"/>
            <w:tcBorders>
              <w:top w:val="nil"/>
              <w:left w:val="nil"/>
              <w:bottom w:val="nil"/>
              <w:right w:val="single" w:sz="8" w:space="0" w:color="auto"/>
            </w:tcBorders>
            <w:shd w:val="clear" w:color="auto" w:fill="auto"/>
            <w:noWrap/>
            <w:vAlign w:val="bottom"/>
            <w:hideMark/>
          </w:tcPr>
          <w:p w14:paraId="05C5B03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w:t>
            </w:r>
          </w:p>
        </w:tc>
      </w:tr>
      <w:tr w:rsidR="00CD1A9E" w:rsidRPr="008F61CC" w14:paraId="0BA4DA74"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3C91FA9F"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Verde</w:t>
            </w:r>
          </w:p>
        </w:tc>
        <w:tc>
          <w:tcPr>
            <w:tcW w:w="1304" w:type="dxa"/>
            <w:tcBorders>
              <w:top w:val="nil"/>
              <w:left w:val="nil"/>
              <w:bottom w:val="nil"/>
              <w:right w:val="nil"/>
            </w:tcBorders>
            <w:shd w:val="clear" w:color="auto" w:fill="auto"/>
            <w:noWrap/>
            <w:vAlign w:val="bottom"/>
            <w:hideMark/>
          </w:tcPr>
          <w:p w14:paraId="47487230"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19</w:t>
            </w:r>
          </w:p>
        </w:tc>
        <w:tc>
          <w:tcPr>
            <w:tcW w:w="1280" w:type="dxa"/>
            <w:tcBorders>
              <w:top w:val="nil"/>
              <w:left w:val="nil"/>
              <w:bottom w:val="nil"/>
              <w:right w:val="nil"/>
            </w:tcBorders>
            <w:shd w:val="clear" w:color="auto" w:fill="auto"/>
            <w:noWrap/>
            <w:vAlign w:val="bottom"/>
            <w:hideMark/>
          </w:tcPr>
          <w:p w14:paraId="41517FC4"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32,706 </w:t>
            </w:r>
          </w:p>
        </w:tc>
        <w:tc>
          <w:tcPr>
            <w:tcW w:w="1304" w:type="dxa"/>
            <w:tcBorders>
              <w:top w:val="nil"/>
              <w:left w:val="nil"/>
              <w:bottom w:val="nil"/>
              <w:right w:val="nil"/>
            </w:tcBorders>
            <w:shd w:val="clear" w:color="auto" w:fill="auto"/>
            <w:noWrap/>
            <w:vAlign w:val="bottom"/>
            <w:hideMark/>
          </w:tcPr>
          <w:p w14:paraId="6E9F645B"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w:t>
            </w:r>
          </w:p>
        </w:tc>
        <w:tc>
          <w:tcPr>
            <w:tcW w:w="1420" w:type="dxa"/>
            <w:tcBorders>
              <w:top w:val="nil"/>
              <w:left w:val="nil"/>
              <w:bottom w:val="nil"/>
              <w:right w:val="single" w:sz="8" w:space="0" w:color="auto"/>
            </w:tcBorders>
            <w:shd w:val="clear" w:color="auto" w:fill="auto"/>
            <w:noWrap/>
            <w:vAlign w:val="bottom"/>
            <w:hideMark/>
          </w:tcPr>
          <w:p w14:paraId="73D9F54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11%</w:t>
            </w:r>
          </w:p>
        </w:tc>
      </w:tr>
      <w:tr w:rsidR="00CD1A9E" w:rsidRPr="008F61CC" w14:paraId="0CCBDFCD"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4E5D4644"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Viridian</w:t>
            </w:r>
          </w:p>
        </w:tc>
        <w:tc>
          <w:tcPr>
            <w:tcW w:w="1304" w:type="dxa"/>
            <w:tcBorders>
              <w:top w:val="nil"/>
              <w:left w:val="nil"/>
              <w:bottom w:val="nil"/>
              <w:right w:val="nil"/>
            </w:tcBorders>
            <w:shd w:val="clear" w:color="auto" w:fill="auto"/>
            <w:noWrap/>
            <w:vAlign w:val="bottom"/>
            <w:hideMark/>
          </w:tcPr>
          <w:p w14:paraId="6B5D8C65"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28</w:t>
            </w:r>
          </w:p>
        </w:tc>
        <w:tc>
          <w:tcPr>
            <w:tcW w:w="1280" w:type="dxa"/>
            <w:tcBorders>
              <w:top w:val="nil"/>
              <w:left w:val="nil"/>
              <w:bottom w:val="nil"/>
              <w:right w:val="nil"/>
            </w:tcBorders>
            <w:shd w:val="clear" w:color="auto" w:fill="auto"/>
            <w:noWrap/>
            <w:vAlign w:val="bottom"/>
            <w:hideMark/>
          </w:tcPr>
          <w:p w14:paraId="7EDFFBE5"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18,216 </w:t>
            </w:r>
          </w:p>
        </w:tc>
        <w:tc>
          <w:tcPr>
            <w:tcW w:w="1304" w:type="dxa"/>
            <w:tcBorders>
              <w:top w:val="nil"/>
              <w:left w:val="nil"/>
              <w:bottom w:val="nil"/>
              <w:right w:val="nil"/>
            </w:tcBorders>
            <w:shd w:val="clear" w:color="auto" w:fill="auto"/>
            <w:noWrap/>
            <w:vAlign w:val="bottom"/>
            <w:hideMark/>
          </w:tcPr>
          <w:p w14:paraId="71CF6E1C"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w:t>
            </w:r>
          </w:p>
        </w:tc>
        <w:tc>
          <w:tcPr>
            <w:tcW w:w="1420" w:type="dxa"/>
            <w:tcBorders>
              <w:top w:val="nil"/>
              <w:left w:val="nil"/>
              <w:bottom w:val="nil"/>
              <w:right w:val="single" w:sz="8" w:space="0" w:color="auto"/>
            </w:tcBorders>
            <w:shd w:val="clear" w:color="auto" w:fill="auto"/>
            <w:noWrap/>
            <w:vAlign w:val="bottom"/>
            <w:hideMark/>
          </w:tcPr>
          <w:p w14:paraId="3DC013F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4%</w:t>
            </w:r>
          </w:p>
        </w:tc>
      </w:tr>
      <w:tr w:rsidR="00CD1A9E" w:rsidRPr="008F61CC" w14:paraId="0196225B" w14:textId="77777777" w:rsidTr="00CD1A9E">
        <w:trPr>
          <w:trHeight w:val="280"/>
          <w:jc w:val="center"/>
        </w:trPr>
        <w:tc>
          <w:tcPr>
            <w:tcW w:w="2734" w:type="dxa"/>
            <w:tcBorders>
              <w:top w:val="nil"/>
              <w:left w:val="single" w:sz="8" w:space="0" w:color="auto"/>
              <w:bottom w:val="nil"/>
              <w:right w:val="nil"/>
            </w:tcBorders>
            <w:shd w:val="clear" w:color="auto" w:fill="auto"/>
            <w:noWrap/>
            <w:vAlign w:val="bottom"/>
            <w:hideMark/>
          </w:tcPr>
          <w:p w14:paraId="04557DDD"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Dominion</w:t>
            </w:r>
          </w:p>
        </w:tc>
        <w:tc>
          <w:tcPr>
            <w:tcW w:w="1304" w:type="dxa"/>
            <w:tcBorders>
              <w:top w:val="nil"/>
              <w:left w:val="nil"/>
              <w:bottom w:val="nil"/>
              <w:right w:val="nil"/>
            </w:tcBorders>
            <w:shd w:val="clear" w:color="auto" w:fill="auto"/>
            <w:noWrap/>
            <w:vAlign w:val="bottom"/>
            <w:hideMark/>
          </w:tcPr>
          <w:p w14:paraId="5ECA3836"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29</w:t>
            </w:r>
          </w:p>
        </w:tc>
        <w:tc>
          <w:tcPr>
            <w:tcW w:w="1280" w:type="dxa"/>
            <w:tcBorders>
              <w:top w:val="nil"/>
              <w:left w:val="nil"/>
              <w:bottom w:val="nil"/>
              <w:right w:val="nil"/>
            </w:tcBorders>
            <w:shd w:val="clear" w:color="auto" w:fill="auto"/>
            <w:noWrap/>
            <w:vAlign w:val="bottom"/>
            <w:hideMark/>
          </w:tcPr>
          <w:p w14:paraId="0EDB60E9"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57,265 </w:t>
            </w:r>
          </w:p>
        </w:tc>
        <w:tc>
          <w:tcPr>
            <w:tcW w:w="1304" w:type="dxa"/>
            <w:tcBorders>
              <w:top w:val="nil"/>
              <w:left w:val="nil"/>
              <w:bottom w:val="nil"/>
              <w:right w:val="nil"/>
            </w:tcBorders>
            <w:shd w:val="clear" w:color="auto" w:fill="auto"/>
            <w:noWrap/>
            <w:vAlign w:val="bottom"/>
            <w:hideMark/>
          </w:tcPr>
          <w:p w14:paraId="112196B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3</w:t>
            </w:r>
          </w:p>
        </w:tc>
        <w:tc>
          <w:tcPr>
            <w:tcW w:w="1420" w:type="dxa"/>
            <w:tcBorders>
              <w:top w:val="nil"/>
              <w:left w:val="nil"/>
              <w:bottom w:val="nil"/>
              <w:right w:val="single" w:sz="8" w:space="0" w:color="auto"/>
            </w:tcBorders>
            <w:shd w:val="clear" w:color="auto" w:fill="auto"/>
            <w:noWrap/>
            <w:vAlign w:val="bottom"/>
            <w:hideMark/>
          </w:tcPr>
          <w:p w14:paraId="509F1284"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10%</w:t>
            </w:r>
          </w:p>
        </w:tc>
      </w:tr>
      <w:tr w:rsidR="00CD1A9E" w:rsidRPr="008F61CC" w14:paraId="46873B1D" w14:textId="77777777" w:rsidTr="00CD1A9E">
        <w:trPr>
          <w:trHeight w:val="280"/>
          <w:jc w:val="center"/>
        </w:trPr>
        <w:tc>
          <w:tcPr>
            <w:tcW w:w="2734" w:type="dxa"/>
            <w:tcBorders>
              <w:top w:val="nil"/>
              <w:left w:val="single" w:sz="8" w:space="0" w:color="auto"/>
              <w:bottom w:val="single" w:sz="4" w:space="0" w:color="auto"/>
              <w:right w:val="nil"/>
            </w:tcBorders>
            <w:shd w:val="clear" w:color="auto" w:fill="auto"/>
            <w:noWrap/>
            <w:vAlign w:val="bottom"/>
            <w:hideMark/>
          </w:tcPr>
          <w:p w14:paraId="77B0ACB6"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Energy Choice LLC</w:t>
            </w:r>
          </w:p>
        </w:tc>
        <w:tc>
          <w:tcPr>
            <w:tcW w:w="1304" w:type="dxa"/>
            <w:tcBorders>
              <w:top w:val="nil"/>
              <w:left w:val="nil"/>
              <w:bottom w:val="single" w:sz="4" w:space="0" w:color="auto"/>
              <w:right w:val="nil"/>
            </w:tcBorders>
            <w:shd w:val="clear" w:color="auto" w:fill="auto"/>
            <w:noWrap/>
            <w:vAlign w:val="bottom"/>
            <w:hideMark/>
          </w:tcPr>
          <w:p w14:paraId="4FDEB00A"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w:t>
            </w:r>
          </w:p>
        </w:tc>
        <w:tc>
          <w:tcPr>
            <w:tcW w:w="1280" w:type="dxa"/>
            <w:tcBorders>
              <w:top w:val="nil"/>
              <w:left w:val="nil"/>
              <w:bottom w:val="single" w:sz="4" w:space="0" w:color="auto"/>
              <w:right w:val="nil"/>
            </w:tcBorders>
            <w:shd w:val="clear" w:color="auto" w:fill="auto"/>
            <w:noWrap/>
            <w:vAlign w:val="bottom"/>
            <w:hideMark/>
          </w:tcPr>
          <w:p w14:paraId="2D1440A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w:t>
            </w:r>
          </w:p>
        </w:tc>
        <w:tc>
          <w:tcPr>
            <w:tcW w:w="1304" w:type="dxa"/>
            <w:tcBorders>
              <w:top w:val="nil"/>
              <w:left w:val="nil"/>
              <w:bottom w:val="single" w:sz="4" w:space="0" w:color="auto"/>
              <w:right w:val="nil"/>
            </w:tcBorders>
            <w:shd w:val="clear" w:color="auto" w:fill="auto"/>
            <w:noWrap/>
            <w:vAlign w:val="bottom"/>
            <w:hideMark/>
          </w:tcPr>
          <w:p w14:paraId="7D0047E3"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w:t>
            </w:r>
          </w:p>
        </w:tc>
        <w:tc>
          <w:tcPr>
            <w:tcW w:w="1420" w:type="dxa"/>
            <w:tcBorders>
              <w:top w:val="nil"/>
              <w:left w:val="nil"/>
              <w:bottom w:val="single" w:sz="4" w:space="0" w:color="auto"/>
              <w:right w:val="single" w:sz="8" w:space="0" w:color="auto"/>
            </w:tcBorders>
            <w:shd w:val="clear" w:color="auto" w:fill="auto"/>
            <w:noWrap/>
            <w:vAlign w:val="bottom"/>
            <w:hideMark/>
          </w:tcPr>
          <w:p w14:paraId="0ED2C2C8"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100%</w:t>
            </w:r>
          </w:p>
        </w:tc>
      </w:tr>
      <w:tr w:rsidR="00CD1A9E" w:rsidRPr="008F61CC" w14:paraId="64606CAF" w14:textId="77777777" w:rsidTr="00CD1A9E">
        <w:trPr>
          <w:trHeight w:val="220"/>
          <w:jc w:val="center"/>
        </w:trPr>
        <w:tc>
          <w:tcPr>
            <w:tcW w:w="2734" w:type="dxa"/>
            <w:tcBorders>
              <w:top w:val="nil"/>
              <w:left w:val="single" w:sz="8" w:space="0" w:color="auto"/>
              <w:bottom w:val="nil"/>
              <w:right w:val="nil"/>
            </w:tcBorders>
            <w:shd w:val="clear" w:color="auto" w:fill="auto"/>
            <w:noWrap/>
            <w:vAlign w:val="bottom"/>
            <w:hideMark/>
          </w:tcPr>
          <w:p w14:paraId="4CF393D0"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 </w:t>
            </w:r>
          </w:p>
        </w:tc>
        <w:tc>
          <w:tcPr>
            <w:tcW w:w="1304" w:type="dxa"/>
            <w:tcBorders>
              <w:top w:val="nil"/>
              <w:left w:val="nil"/>
              <w:bottom w:val="nil"/>
              <w:right w:val="nil"/>
            </w:tcBorders>
            <w:shd w:val="clear" w:color="auto" w:fill="auto"/>
            <w:noWrap/>
            <w:vAlign w:val="bottom"/>
            <w:hideMark/>
          </w:tcPr>
          <w:p w14:paraId="377A68F5"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 </w:t>
            </w:r>
          </w:p>
        </w:tc>
        <w:tc>
          <w:tcPr>
            <w:tcW w:w="1280" w:type="dxa"/>
            <w:tcBorders>
              <w:top w:val="nil"/>
              <w:left w:val="nil"/>
              <w:bottom w:val="nil"/>
              <w:right w:val="nil"/>
            </w:tcBorders>
            <w:shd w:val="clear" w:color="auto" w:fill="auto"/>
            <w:noWrap/>
            <w:vAlign w:val="bottom"/>
            <w:hideMark/>
          </w:tcPr>
          <w:p w14:paraId="6E194309"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 </w:t>
            </w:r>
          </w:p>
        </w:tc>
        <w:tc>
          <w:tcPr>
            <w:tcW w:w="1304" w:type="dxa"/>
            <w:tcBorders>
              <w:top w:val="nil"/>
              <w:left w:val="nil"/>
              <w:bottom w:val="nil"/>
              <w:right w:val="nil"/>
            </w:tcBorders>
            <w:shd w:val="clear" w:color="auto" w:fill="auto"/>
            <w:noWrap/>
            <w:vAlign w:val="bottom"/>
            <w:hideMark/>
          </w:tcPr>
          <w:p w14:paraId="5A2DADC6"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 </w:t>
            </w:r>
          </w:p>
        </w:tc>
        <w:tc>
          <w:tcPr>
            <w:tcW w:w="1420" w:type="dxa"/>
            <w:tcBorders>
              <w:top w:val="nil"/>
              <w:left w:val="nil"/>
              <w:bottom w:val="nil"/>
              <w:right w:val="single" w:sz="8" w:space="0" w:color="auto"/>
            </w:tcBorders>
            <w:shd w:val="clear" w:color="auto" w:fill="auto"/>
            <w:noWrap/>
            <w:vAlign w:val="bottom"/>
            <w:hideMark/>
          </w:tcPr>
          <w:p w14:paraId="2570685D"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 </w:t>
            </w:r>
          </w:p>
        </w:tc>
      </w:tr>
      <w:tr w:rsidR="00CD1A9E" w:rsidRPr="008F61CC" w14:paraId="10BD34BA" w14:textId="77777777" w:rsidTr="00CD1A9E">
        <w:trPr>
          <w:trHeight w:val="216"/>
          <w:jc w:val="center"/>
        </w:trPr>
        <w:tc>
          <w:tcPr>
            <w:tcW w:w="2734" w:type="dxa"/>
            <w:tcBorders>
              <w:top w:val="nil"/>
              <w:left w:val="single" w:sz="8" w:space="0" w:color="auto"/>
              <w:bottom w:val="nil"/>
              <w:right w:val="nil"/>
            </w:tcBorders>
            <w:shd w:val="clear" w:color="auto" w:fill="auto"/>
            <w:noWrap/>
            <w:vAlign w:val="bottom"/>
            <w:hideMark/>
          </w:tcPr>
          <w:p w14:paraId="6236588D"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Subtotals</w:t>
            </w:r>
          </w:p>
        </w:tc>
        <w:tc>
          <w:tcPr>
            <w:tcW w:w="1304" w:type="dxa"/>
            <w:tcBorders>
              <w:top w:val="nil"/>
              <w:left w:val="nil"/>
              <w:bottom w:val="nil"/>
              <w:right w:val="nil"/>
            </w:tcBorders>
            <w:shd w:val="clear" w:color="auto" w:fill="auto"/>
            <w:noWrap/>
            <w:vAlign w:val="bottom"/>
            <w:hideMark/>
          </w:tcPr>
          <w:p w14:paraId="59F01767"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761</w:t>
            </w:r>
          </w:p>
        </w:tc>
        <w:tc>
          <w:tcPr>
            <w:tcW w:w="1280" w:type="dxa"/>
            <w:tcBorders>
              <w:top w:val="nil"/>
              <w:left w:val="nil"/>
              <w:bottom w:val="nil"/>
              <w:right w:val="nil"/>
            </w:tcBorders>
            <w:shd w:val="clear" w:color="auto" w:fill="auto"/>
            <w:noWrap/>
            <w:vAlign w:val="bottom"/>
            <w:hideMark/>
          </w:tcPr>
          <w:p w14:paraId="6ABE9FC2"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462484</w:t>
            </w:r>
          </w:p>
        </w:tc>
        <w:tc>
          <w:tcPr>
            <w:tcW w:w="1304" w:type="dxa"/>
            <w:tcBorders>
              <w:top w:val="nil"/>
              <w:left w:val="nil"/>
              <w:bottom w:val="nil"/>
              <w:right w:val="nil"/>
            </w:tcBorders>
            <w:shd w:val="clear" w:color="auto" w:fill="auto"/>
            <w:noWrap/>
            <w:vAlign w:val="bottom"/>
            <w:hideMark/>
          </w:tcPr>
          <w:p w14:paraId="2E03D169"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70</w:t>
            </w:r>
          </w:p>
        </w:tc>
        <w:tc>
          <w:tcPr>
            <w:tcW w:w="1420" w:type="dxa"/>
            <w:tcBorders>
              <w:top w:val="nil"/>
              <w:left w:val="nil"/>
              <w:bottom w:val="nil"/>
              <w:right w:val="single" w:sz="8" w:space="0" w:color="auto"/>
            </w:tcBorders>
            <w:shd w:val="clear" w:color="auto" w:fill="auto"/>
            <w:noWrap/>
            <w:vAlign w:val="bottom"/>
            <w:hideMark/>
          </w:tcPr>
          <w:p w14:paraId="63856D41"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9%</w:t>
            </w:r>
          </w:p>
        </w:tc>
      </w:tr>
      <w:tr w:rsidR="00CD1A9E" w:rsidRPr="008F61CC" w14:paraId="098DCC62" w14:textId="77777777" w:rsidTr="00CD1A9E">
        <w:trPr>
          <w:trHeight w:val="612"/>
          <w:jc w:val="center"/>
        </w:trPr>
        <w:tc>
          <w:tcPr>
            <w:tcW w:w="2734" w:type="dxa"/>
            <w:tcBorders>
              <w:top w:val="nil"/>
              <w:left w:val="single" w:sz="8" w:space="0" w:color="auto"/>
              <w:bottom w:val="nil"/>
              <w:right w:val="nil"/>
            </w:tcBorders>
            <w:shd w:val="clear" w:color="auto" w:fill="auto"/>
            <w:vAlign w:val="bottom"/>
            <w:hideMark/>
          </w:tcPr>
          <w:p w14:paraId="459C7C71" w14:textId="77777777" w:rsidR="00CD1A9E" w:rsidRPr="008F61CC" w:rsidRDefault="00CD1A9E" w:rsidP="00EA7BB1">
            <w:pPr>
              <w:keepNext/>
              <w:keepLines/>
              <w:widowControl/>
              <w:autoSpaceDE/>
              <w:autoSpaceDN/>
              <w:adjustRightInd/>
              <w:rPr>
                <w:color w:val="000000"/>
                <w:sz w:val="20"/>
                <w:szCs w:val="20"/>
              </w:rPr>
            </w:pPr>
            <w:r>
              <w:rPr>
                <w:color w:val="000000"/>
                <w:sz w:val="20"/>
                <w:szCs w:val="20"/>
              </w:rPr>
              <w:t>S</w:t>
            </w:r>
            <w:r w:rsidRPr="008F61CC">
              <w:rPr>
                <w:color w:val="000000"/>
                <w:sz w:val="20"/>
                <w:szCs w:val="20"/>
              </w:rPr>
              <w:t xml:space="preserve">ubtotals </w:t>
            </w:r>
            <w:r>
              <w:rPr>
                <w:color w:val="000000"/>
                <w:sz w:val="20"/>
                <w:szCs w:val="20"/>
              </w:rPr>
              <w:t>for</w:t>
            </w:r>
            <w:r w:rsidR="00A93FF2">
              <w:rPr>
                <w:color w:val="000000"/>
                <w:sz w:val="20"/>
                <w:szCs w:val="20"/>
              </w:rPr>
              <w:t xml:space="preserve"> Supplier</w:t>
            </w:r>
            <w:r w:rsidRPr="008F61CC">
              <w:rPr>
                <w:color w:val="000000"/>
                <w:sz w:val="20"/>
                <w:szCs w:val="20"/>
              </w:rPr>
              <w:t xml:space="preserve">s without </w:t>
            </w:r>
            <w:r w:rsidR="00E54ADF">
              <w:rPr>
                <w:color w:val="000000"/>
                <w:sz w:val="20"/>
                <w:szCs w:val="20"/>
              </w:rPr>
              <w:t>Senior</w:t>
            </w:r>
            <w:r w:rsidRPr="008F61CC">
              <w:rPr>
                <w:color w:val="000000"/>
                <w:sz w:val="20"/>
                <w:szCs w:val="20"/>
              </w:rPr>
              <w:t xml:space="preserve"> complaints</w:t>
            </w:r>
          </w:p>
        </w:tc>
        <w:tc>
          <w:tcPr>
            <w:tcW w:w="1304" w:type="dxa"/>
            <w:tcBorders>
              <w:top w:val="nil"/>
              <w:left w:val="nil"/>
              <w:bottom w:val="nil"/>
              <w:right w:val="nil"/>
            </w:tcBorders>
            <w:shd w:val="clear" w:color="auto" w:fill="auto"/>
            <w:noWrap/>
            <w:vAlign w:val="bottom"/>
            <w:hideMark/>
          </w:tcPr>
          <w:p w14:paraId="1F5ECFB9"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57</w:t>
            </w:r>
          </w:p>
        </w:tc>
        <w:tc>
          <w:tcPr>
            <w:tcW w:w="1280" w:type="dxa"/>
            <w:tcBorders>
              <w:top w:val="nil"/>
              <w:left w:val="nil"/>
              <w:bottom w:val="nil"/>
              <w:right w:val="nil"/>
            </w:tcBorders>
            <w:shd w:val="clear" w:color="auto" w:fill="auto"/>
            <w:noWrap/>
            <w:vAlign w:val="bottom"/>
            <w:hideMark/>
          </w:tcPr>
          <w:p w14:paraId="1353A96D"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108,632 </w:t>
            </w:r>
          </w:p>
        </w:tc>
        <w:tc>
          <w:tcPr>
            <w:tcW w:w="1304" w:type="dxa"/>
            <w:tcBorders>
              <w:top w:val="nil"/>
              <w:left w:val="nil"/>
              <w:bottom w:val="nil"/>
              <w:right w:val="nil"/>
            </w:tcBorders>
            <w:shd w:val="clear" w:color="auto" w:fill="auto"/>
            <w:noWrap/>
            <w:vAlign w:val="bottom"/>
            <w:hideMark/>
          </w:tcPr>
          <w:p w14:paraId="0B977D70"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0</w:t>
            </w:r>
          </w:p>
        </w:tc>
        <w:tc>
          <w:tcPr>
            <w:tcW w:w="1420" w:type="dxa"/>
            <w:tcBorders>
              <w:top w:val="nil"/>
              <w:left w:val="nil"/>
              <w:bottom w:val="nil"/>
              <w:right w:val="single" w:sz="8" w:space="0" w:color="auto"/>
            </w:tcBorders>
            <w:shd w:val="clear" w:color="auto" w:fill="auto"/>
            <w:noWrap/>
            <w:vAlign w:val="bottom"/>
            <w:hideMark/>
          </w:tcPr>
          <w:p w14:paraId="4DB3E610"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0%</w:t>
            </w:r>
          </w:p>
        </w:tc>
      </w:tr>
      <w:tr w:rsidR="00CD1A9E" w:rsidRPr="008F61CC" w14:paraId="112BCAAC" w14:textId="77777777" w:rsidTr="00CD1A9E">
        <w:trPr>
          <w:trHeight w:val="140"/>
          <w:jc w:val="center"/>
        </w:trPr>
        <w:tc>
          <w:tcPr>
            <w:tcW w:w="2734" w:type="dxa"/>
            <w:tcBorders>
              <w:top w:val="nil"/>
              <w:left w:val="single" w:sz="8" w:space="0" w:color="auto"/>
              <w:bottom w:val="nil"/>
              <w:right w:val="nil"/>
            </w:tcBorders>
            <w:shd w:val="clear" w:color="auto" w:fill="auto"/>
            <w:noWrap/>
            <w:vAlign w:val="bottom"/>
            <w:hideMark/>
          </w:tcPr>
          <w:p w14:paraId="1FE6738A"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 </w:t>
            </w:r>
          </w:p>
        </w:tc>
        <w:tc>
          <w:tcPr>
            <w:tcW w:w="1304" w:type="dxa"/>
            <w:tcBorders>
              <w:top w:val="nil"/>
              <w:left w:val="nil"/>
              <w:bottom w:val="nil"/>
              <w:right w:val="nil"/>
            </w:tcBorders>
            <w:shd w:val="clear" w:color="auto" w:fill="auto"/>
            <w:noWrap/>
            <w:vAlign w:val="bottom"/>
            <w:hideMark/>
          </w:tcPr>
          <w:p w14:paraId="66EB47DA" w14:textId="77777777" w:rsidR="00CD1A9E" w:rsidRPr="008F61CC" w:rsidRDefault="00CD1A9E" w:rsidP="008F61CC">
            <w:pPr>
              <w:keepNext/>
              <w:keepLines/>
              <w:widowControl/>
              <w:autoSpaceDE/>
              <w:autoSpaceDN/>
              <w:adjustRightInd/>
              <w:rPr>
                <w:color w:val="000000"/>
                <w:sz w:val="20"/>
                <w:szCs w:val="20"/>
              </w:rPr>
            </w:pPr>
          </w:p>
        </w:tc>
        <w:tc>
          <w:tcPr>
            <w:tcW w:w="1280" w:type="dxa"/>
            <w:tcBorders>
              <w:top w:val="nil"/>
              <w:left w:val="nil"/>
              <w:bottom w:val="nil"/>
              <w:right w:val="nil"/>
            </w:tcBorders>
            <w:shd w:val="clear" w:color="auto" w:fill="auto"/>
            <w:noWrap/>
            <w:vAlign w:val="bottom"/>
            <w:hideMark/>
          </w:tcPr>
          <w:p w14:paraId="6B30646A" w14:textId="77777777" w:rsidR="00CD1A9E" w:rsidRPr="008F61CC" w:rsidRDefault="00CD1A9E" w:rsidP="008F61CC">
            <w:pPr>
              <w:keepNext/>
              <w:keepLines/>
              <w:widowControl/>
              <w:autoSpaceDE/>
              <w:autoSpaceDN/>
              <w:adjustRightInd/>
              <w:rPr>
                <w:color w:val="000000"/>
                <w:sz w:val="20"/>
                <w:szCs w:val="20"/>
              </w:rPr>
            </w:pPr>
          </w:p>
        </w:tc>
        <w:tc>
          <w:tcPr>
            <w:tcW w:w="1304" w:type="dxa"/>
            <w:tcBorders>
              <w:top w:val="nil"/>
              <w:left w:val="nil"/>
              <w:bottom w:val="nil"/>
              <w:right w:val="nil"/>
            </w:tcBorders>
            <w:shd w:val="clear" w:color="auto" w:fill="auto"/>
            <w:noWrap/>
            <w:vAlign w:val="bottom"/>
            <w:hideMark/>
          </w:tcPr>
          <w:p w14:paraId="3A8917C4" w14:textId="77777777" w:rsidR="00CD1A9E" w:rsidRPr="008F61CC" w:rsidRDefault="00CD1A9E" w:rsidP="008F61CC">
            <w:pPr>
              <w:keepNext/>
              <w:keepLines/>
              <w:widowControl/>
              <w:autoSpaceDE/>
              <w:autoSpaceDN/>
              <w:adjustRightInd/>
              <w:rPr>
                <w:color w:val="000000"/>
                <w:sz w:val="20"/>
                <w:szCs w:val="20"/>
              </w:rPr>
            </w:pPr>
          </w:p>
        </w:tc>
        <w:tc>
          <w:tcPr>
            <w:tcW w:w="1420" w:type="dxa"/>
            <w:tcBorders>
              <w:top w:val="nil"/>
              <w:left w:val="nil"/>
              <w:bottom w:val="nil"/>
              <w:right w:val="single" w:sz="8" w:space="0" w:color="auto"/>
            </w:tcBorders>
            <w:shd w:val="clear" w:color="auto" w:fill="auto"/>
            <w:noWrap/>
            <w:vAlign w:val="bottom"/>
            <w:hideMark/>
          </w:tcPr>
          <w:p w14:paraId="38618B5A" w14:textId="77777777" w:rsidR="00CD1A9E" w:rsidRPr="008F61CC" w:rsidRDefault="00CD1A9E" w:rsidP="008F61CC">
            <w:pPr>
              <w:keepNext/>
              <w:keepLines/>
              <w:widowControl/>
              <w:autoSpaceDE/>
              <w:autoSpaceDN/>
              <w:adjustRightInd/>
              <w:rPr>
                <w:color w:val="000000"/>
                <w:sz w:val="20"/>
                <w:szCs w:val="20"/>
              </w:rPr>
            </w:pPr>
          </w:p>
        </w:tc>
      </w:tr>
      <w:tr w:rsidR="00CD1A9E" w:rsidRPr="008F61CC" w14:paraId="5C0C1BF8" w14:textId="77777777" w:rsidTr="00CD1A9E">
        <w:trPr>
          <w:trHeight w:val="84"/>
          <w:jc w:val="center"/>
        </w:trPr>
        <w:tc>
          <w:tcPr>
            <w:tcW w:w="2734" w:type="dxa"/>
            <w:tcBorders>
              <w:top w:val="nil"/>
              <w:left w:val="single" w:sz="8" w:space="0" w:color="auto"/>
              <w:bottom w:val="single" w:sz="8" w:space="0" w:color="auto"/>
              <w:right w:val="nil"/>
            </w:tcBorders>
            <w:shd w:val="clear" w:color="auto" w:fill="auto"/>
            <w:noWrap/>
            <w:vAlign w:val="bottom"/>
            <w:hideMark/>
          </w:tcPr>
          <w:p w14:paraId="580AED31" w14:textId="77777777" w:rsidR="00CD1A9E" w:rsidRPr="008F61CC" w:rsidRDefault="00CD1A9E" w:rsidP="008F61CC">
            <w:pPr>
              <w:keepNext/>
              <w:keepLines/>
              <w:widowControl/>
              <w:autoSpaceDE/>
              <w:autoSpaceDN/>
              <w:adjustRightInd/>
              <w:rPr>
                <w:color w:val="000000"/>
                <w:sz w:val="20"/>
                <w:szCs w:val="20"/>
              </w:rPr>
            </w:pPr>
            <w:r w:rsidRPr="008F61CC">
              <w:rPr>
                <w:color w:val="000000"/>
                <w:sz w:val="20"/>
                <w:szCs w:val="20"/>
              </w:rPr>
              <w:t>TOTALS</w:t>
            </w:r>
          </w:p>
        </w:tc>
        <w:tc>
          <w:tcPr>
            <w:tcW w:w="1304" w:type="dxa"/>
            <w:tcBorders>
              <w:top w:val="nil"/>
              <w:left w:val="nil"/>
              <w:bottom w:val="single" w:sz="8" w:space="0" w:color="auto"/>
              <w:right w:val="nil"/>
            </w:tcBorders>
            <w:shd w:val="clear" w:color="auto" w:fill="auto"/>
            <w:noWrap/>
            <w:vAlign w:val="bottom"/>
            <w:hideMark/>
          </w:tcPr>
          <w:p w14:paraId="363A604C"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818</w:t>
            </w:r>
          </w:p>
        </w:tc>
        <w:tc>
          <w:tcPr>
            <w:tcW w:w="1280" w:type="dxa"/>
            <w:tcBorders>
              <w:top w:val="nil"/>
              <w:left w:val="nil"/>
              <w:bottom w:val="single" w:sz="8" w:space="0" w:color="auto"/>
              <w:right w:val="nil"/>
            </w:tcBorders>
            <w:shd w:val="clear" w:color="auto" w:fill="auto"/>
            <w:noWrap/>
            <w:vAlign w:val="bottom"/>
            <w:hideMark/>
          </w:tcPr>
          <w:p w14:paraId="788D01DF"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 xml:space="preserve"> 571,116 </w:t>
            </w:r>
          </w:p>
        </w:tc>
        <w:tc>
          <w:tcPr>
            <w:tcW w:w="1304" w:type="dxa"/>
            <w:tcBorders>
              <w:top w:val="nil"/>
              <w:left w:val="nil"/>
              <w:bottom w:val="single" w:sz="8" w:space="0" w:color="auto"/>
              <w:right w:val="nil"/>
            </w:tcBorders>
            <w:shd w:val="clear" w:color="auto" w:fill="auto"/>
            <w:noWrap/>
            <w:vAlign w:val="bottom"/>
            <w:hideMark/>
          </w:tcPr>
          <w:p w14:paraId="548DC60A"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70</w:t>
            </w:r>
          </w:p>
        </w:tc>
        <w:tc>
          <w:tcPr>
            <w:tcW w:w="1420" w:type="dxa"/>
            <w:tcBorders>
              <w:top w:val="nil"/>
              <w:left w:val="nil"/>
              <w:bottom w:val="single" w:sz="8" w:space="0" w:color="auto"/>
              <w:right w:val="single" w:sz="8" w:space="0" w:color="auto"/>
            </w:tcBorders>
            <w:shd w:val="clear" w:color="auto" w:fill="auto"/>
            <w:noWrap/>
            <w:vAlign w:val="bottom"/>
            <w:hideMark/>
          </w:tcPr>
          <w:p w14:paraId="5DF35B8D" w14:textId="77777777" w:rsidR="00CD1A9E" w:rsidRPr="008F61CC" w:rsidRDefault="00CD1A9E" w:rsidP="008F61CC">
            <w:pPr>
              <w:keepNext/>
              <w:keepLines/>
              <w:widowControl/>
              <w:autoSpaceDE/>
              <w:autoSpaceDN/>
              <w:adjustRightInd/>
              <w:jc w:val="right"/>
              <w:rPr>
                <w:color w:val="000000"/>
                <w:sz w:val="20"/>
                <w:szCs w:val="20"/>
              </w:rPr>
            </w:pPr>
            <w:r w:rsidRPr="008F61CC">
              <w:rPr>
                <w:color w:val="000000"/>
                <w:sz w:val="20"/>
                <w:szCs w:val="20"/>
              </w:rPr>
              <w:t>9%</w:t>
            </w:r>
          </w:p>
        </w:tc>
      </w:tr>
    </w:tbl>
    <w:p w14:paraId="5799DA93" w14:textId="77777777" w:rsidR="00571131" w:rsidRDefault="00571131" w:rsidP="00157C92">
      <w:pPr>
        <w:spacing w:line="480" w:lineRule="auto"/>
        <w:ind w:left="720" w:hanging="720"/>
        <w:rPr>
          <w:b/>
        </w:rPr>
      </w:pPr>
    </w:p>
    <w:p w14:paraId="44631F4E" w14:textId="77777777" w:rsidR="00F36F66" w:rsidRDefault="00F36F66" w:rsidP="00157C92">
      <w:pPr>
        <w:spacing w:line="480" w:lineRule="auto"/>
        <w:ind w:left="720" w:hanging="720"/>
        <w:rPr>
          <w:b/>
        </w:rPr>
      </w:pPr>
      <w:r>
        <w:rPr>
          <w:b/>
        </w:rPr>
        <w:t>Q:</w:t>
      </w:r>
      <w:r>
        <w:rPr>
          <w:b/>
        </w:rPr>
        <w:tab/>
        <w:t>Why do you emphasize “at least”?</w:t>
      </w:r>
    </w:p>
    <w:p w14:paraId="29B4CE60" w14:textId="77777777" w:rsidR="00A3196A" w:rsidRDefault="00F36F66" w:rsidP="00FA43E5">
      <w:pPr>
        <w:spacing w:line="480" w:lineRule="auto"/>
        <w:ind w:left="720" w:hanging="720"/>
      </w:pPr>
      <w:r>
        <w:t>A:</w:t>
      </w:r>
      <w:r>
        <w:tab/>
      </w:r>
      <w:r w:rsidR="004319B1">
        <w:t>We</w:t>
      </w:r>
      <w:r>
        <w:t xml:space="preserve"> classified complaints as “</w:t>
      </w:r>
      <w:r w:rsidR="002C27E6">
        <w:t>involving</w:t>
      </w:r>
      <w:r w:rsidR="009C1547">
        <w:t xml:space="preserve"> a </w:t>
      </w:r>
      <w:r w:rsidR="00E54ADF">
        <w:t>Senior</w:t>
      </w:r>
      <w:r>
        <w:t xml:space="preserve">” only if there was an </w:t>
      </w:r>
      <w:r w:rsidR="0061774F">
        <w:t>unambiguous</w:t>
      </w:r>
      <w:r>
        <w:t xml:space="preserve"> reference in the </w:t>
      </w:r>
      <w:r w:rsidR="00FA43E5">
        <w:t>PURA Intake Form</w:t>
      </w:r>
      <w:r>
        <w:t xml:space="preserve"> to </w:t>
      </w:r>
      <w:r w:rsidR="00FA43E5">
        <w:t xml:space="preserve">the presence of a </w:t>
      </w:r>
      <w:r w:rsidR="00E54ADF">
        <w:t>Senior</w:t>
      </w:r>
      <w:r w:rsidR="00FA43E5">
        <w:t>.</w:t>
      </w:r>
      <w:r w:rsidR="00FA43E5">
        <w:rPr>
          <w:rStyle w:val="FootnoteReference"/>
        </w:rPr>
        <w:footnoteReference w:id="24"/>
      </w:r>
      <w:r>
        <w:t xml:space="preserve">  But the fact that any given complaint does not specifically refer to </w:t>
      </w:r>
      <w:r w:rsidR="00652A53">
        <w:t xml:space="preserve">this attribute </w:t>
      </w:r>
      <w:r>
        <w:t xml:space="preserve">does not mean that the customer was not </w:t>
      </w:r>
      <w:r w:rsidR="00E54ADF">
        <w:t>a senior citizen</w:t>
      </w:r>
      <w:r w:rsidR="00652A53">
        <w:t xml:space="preserve">. </w:t>
      </w:r>
      <w:r w:rsidR="00275860">
        <w:t xml:space="preserve">  </w:t>
      </w:r>
      <w:r w:rsidR="00C92E65">
        <w:t xml:space="preserve">Furthermore, sometimes a complaint would refer to the fact that a son or daughter called on her parent’s behalf, but in those instances, unless the person explicitly referred to the parent as being </w:t>
      </w:r>
      <w:r w:rsidR="00E54ADF">
        <w:t>Senior</w:t>
      </w:r>
      <w:r w:rsidR="00C92E65">
        <w:t>,</w:t>
      </w:r>
      <w:r w:rsidR="008B6DBC">
        <w:t xml:space="preserve"> we </w:t>
      </w:r>
      <w:r w:rsidR="00C92E65">
        <w:t xml:space="preserve">did not count the complaint as </w:t>
      </w:r>
      <w:r w:rsidR="002C27E6">
        <w:t xml:space="preserve">involving </w:t>
      </w:r>
      <w:r w:rsidR="00E54ADF">
        <w:t>a Senior</w:t>
      </w:r>
      <w:r w:rsidR="00C92E65">
        <w:t>.</w:t>
      </w:r>
      <w:r w:rsidR="0011709A">
        <w:t xml:space="preserve">   </w:t>
      </w:r>
    </w:p>
    <w:p w14:paraId="185E06F4" w14:textId="77777777" w:rsidR="00FA43E5" w:rsidRDefault="0011709A" w:rsidP="00A3196A">
      <w:pPr>
        <w:spacing w:line="480" w:lineRule="auto"/>
        <w:ind w:left="720"/>
      </w:pPr>
      <w:r>
        <w:t xml:space="preserve">It is difficult to draw definitive conclusions </w:t>
      </w:r>
      <w:r w:rsidR="00A3196A">
        <w:t xml:space="preserve">about Suppliers’ practices </w:t>
      </w:r>
      <w:r>
        <w:t xml:space="preserve">because the </w:t>
      </w:r>
      <w:r w:rsidR="00A3196A">
        <w:t xml:space="preserve">PURA Intake Forms </w:t>
      </w:r>
      <w:r>
        <w:t xml:space="preserve">do not specifically track whether the complainant is </w:t>
      </w:r>
      <w:r w:rsidR="005F5AFB">
        <w:t xml:space="preserve">a </w:t>
      </w:r>
      <w:r w:rsidR="00E54ADF">
        <w:t>Senior</w:t>
      </w:r>
      <w:r w:rsidR="00A3196A">
        <w:t xml:space="preserve">.  We recommend that </w:t>
      </w:r>
      <w:r>
        <w:t xml:space="preserve">PURA track this information in the future so that it can assess </w:t>
      </w:r>
      <w:r w:rsidR="00A3196A">
        <w:t xml:space="preserve">better </w:t>
      </w:r>
      <w:r>
        <w:t xml:space="preserve">whether and </w:t>
      </w:r>
      <w:r w:rsidR="009E4F4A">
        <w:t xml:space="preserve">to what </w:t>
      </w:r>
      <w:r w:rsidR="00A3196A">
        <w:t xml:space="preserve">extent older residents are more vulnerable to unscrupulous and misleading sales practices. </w:t>
      </w:r>
    </w:p>
    <w:p w14:paraId="6A3D7C74" w14:textId="77777777" w:rsidR="00E724C4" w:rsidRDefault="00FA43E5" w:rsidP="00FA43E5">
      <w:pPr>
        <w:spacing w:line="480" w:lineRule="auto"/>
        <w:ind w:left="720" w:hanging="720"/>
        <w:rPr>
          <w:b/>
        </w:rPr>
      </w:pPr>
      <w:r>
        <w:rPr>
          <w:b/>
        </w:rPr>
        <w:t>Q:</w:t>
      </w:r>
      <w:r>
        <w:rPr>
          <w:b/>
        </w:rPr>
        <w:tab/>
      </w:r>
      <w:r w:rsidR="00E724C4">
        <w:rPr>
          <w:b/>
        </w:rPr>
        <w:t>What criterion did you use to classify a complaint as being from an ESL consumer?</w:t>
      </w:r>
    </w:p>
    <w:p w14:paraId="53DC68B9" w14:textId="77777777" w:rsidR="00E724C4" w:rsidRPr="00631F61" w:rsidRDefault="00E724C4" w:rsidP="00FA43E5">
      <w:pPr>
        <w:spacing w:line="480" w:lineRule="auto"/>
        <w:ind w:left="720" w:hanging="720"/>
      </w:pPr>
      <w:r>
        <w:t>A:</w:t>
      </w:r>
      <w:r>
        <w:tab/>
      </w:r>
      <w:r w:rsidR="004319B1">
        <w:t>We</w:t>
      </w:r>
      <w:r>
        <w:t xml:space="preserve"> deduced that </w:t>
      </w:r>
      <w:r w:rsidR="00DE6E07">
        <w:t xml:space="preserve">a complaint was from an </w:t>
      </w:r>
      <w:r>
        <w:t xml:space="preserve">ESL </w:t>
      </w:r>
      <w:r w:rsidR="00DE6E07">
        <w:t xml:space="preserve">customer </w:t>
      </w:r>
      <w:r>
        <w:t>if the complaint specifically mentioned that a customer wanted to speak with a Spanish-speaking staff member (no other languages were mentioned).</w:t>
      </w:r>
    </w:p>
    <w:p w14:paraId="49AA6157" w14:textId="77777777" w:rsidR="00FA43E5" w:rsidRDefault="00E724C4" w:rsidP="00FA43E5">
      <w:pPr>
        <w:spacing w:line="480" w:lineRule="auto"/>
        <w:ind w:left="720" w:hanging="720"/>
        <w:rPr>
          <w:b/>
        </w:rPr>
      </w:pPr>
      <w:r>
        <w:rPr>
          <w:b/>
        </w:rPr>
        <w:t>Q:</w:t>
      </w:r>
      <w:r>
        <w:rPr>
          <w:b/>
        </w:rPr>
        <w:tab/>
      </w:r>
      <w:r w:rsidR="00FA43E5">
        <w:rPr>
          <w:b/>
        </w:rPr>
        <w:t xml:space="preserve">What did you find regarding the instances </w:t>
      </w:r>
      <w:r w:rsidR="009E4F4A">
        <w:rPr>
          <w:b/>
        </w:rPr>
        <w:t xml:space="preserve">of </w:t>
      </w:r>
      <w:r w:rsidR="00B54FCB">
        <w:rPr>
          <w:b/>
        </w:rPr>
        <w:t>ESL</w:t>
      </w:r>
      <w:r w:rsidR="00FA43E5">
        <w:rPr>
          <w:b/>
        </w:rPr>
        <w:t xml:space="preserve"> consumers complaining to PURA about electric</w:t>
      </w:r>
      <w:r w:rsidR="00A93FF2">
        <w:rPr>
          <w:b/>
        </w:rPr>
        <w:t xml:space="preserve"> Supplier</w:t>
      </w:r>
      <w:r w:rsidR="00FA43E5">
        <w:rPr>
          <w:b/>
        </w:rPr>
        <w:t xml:space="preserve">s’ rates and practices? </w:t>
      </w:r>
    </w:p>
    <w:p w14:paraId="2865222B" w14:textId="77777777" w:rsidR="00FA43E5" w:rsidRDefault="00FA43E5" w:rsidP="00FA43E5">
      <w:pPr>
        <w:spacing w:line="480" w:lineRule="auto"/>
        <w:ind w:left="720" w:hanging="720"/>
      </w:pPr>
      <w:r>
        <w:t>A:</w:t>
      </w:r>
      <w:r>
        <w:tab/>
      </w:r>
      <w:r w:rsidR="00E724C4">
        <w:rPr>
          <w:i/>
        </w:rPr>
        <w:t>A</w:t>
      </w:r>
      <w:r>
        <w:rPr>
          <w:i/>
        </w:rPr>
        <w:t xml:space="preserve">t least </w:t>
      </w:r>
      <w:r w:rsidR="00B54FCB">
        <w:t>29</w:t>
      </w:r>
      <w:r>
        <w:t xml:space="preserve"> of the </w:t>
      </w:r>
      <w:r w:rsidR="00E724C4">
        <w:t xml:space="preserve">818 </w:t>
      </w:r>
      <w:r>
        <w:t xml:space="preserve">consumer complaints were associated with </w:t>
      </w:r>
      <w:r w:rsidR="00B54FCB">
        <w:t>ESL</w:t>
      </w:r>
      <w:r w:rsidR="00571131">
        <w:t xml:space="preserve"> consumers</w:t>
      </w:r>
      <w:r w:rsidR="00E724C4">
        <w:t>,</w:t>
      </w:r>
      <w:r w:rsidR="00810AC2">
        <w:t xml:space="preserve"> and 15 (or half) of those complaints are associated with Starion</w:t>
      </w:r>
      <w:r w:rsidR="00E724C4">
        <w:t xml:space="preserve"> (8% of the total complaints against that</w:t>
      </w:r>
      <w:r w:rsidR="00A93FF2">
        <w:t xml:space="preserve"> Supplier</w:t>
      </w:r>
      <w:r w:rsidR="00E724C4">
        <w:t>)</w:t>
      </w:r>
      <w:r w:rsidR="00B54FCB">
        <w:t>.</w:t>
      </w:r>
    </w:p>
    <w:p w14:paraId="4ADCA41C" w14:textId="77777777" w:rsidR="00FA43E5" w:rsidRDefault="00B54FCB" w:rsidP="00E7469B">
      <w:pPr>
        <w:keepNext/>
        <w:keepLines/>
        <w:ind w:left="720" w:hanging="720"/>
        <w:jc w:val="center"/>
        <w:rPr>
          <w:b/>
        </w:rPr>
      </w:pPr>
      <w:r>
        <w:rPr>
          <w:b/>
        </w:rPr>
        <w:t>Table 4</w:t>
      </w:r>
    </w:p>
    <w:p w14:paraId="0D90B3DF" w14:textId="77777777" w:rsidR="00F36F66" w:rsidRDefault="00FA43E5" w:rsidP="00E7469B">
      <w:pPr>
        <w:keepNext/>
        <w:keepLines/>
        <w:ind w:left="720" w:hanging="720"/>
        <w:jc w:val="center"/>
        <w:rPr>
          <w:b/>
        </w:rPr>
      </w:pPr>
      <w:r>
        <w:rPr>
          <w:b/>
        </w:rPr>
        <w:t xml:space="preserve">Complaints Originating from </w:t>
      </w:r>
      <w:r w:rsidR="00B54FCB">
        <w:rPr>
          <w:b/>
        </w:rPr>
        <w:t>ESL</w:t>
      </w:r>
      <w:r>
        <w:rPr>
          <w:b/>
        </w:rPr>
        <w:t xml:space="preserve"> Households</w:t>
      </w:r>
    </w:p>
    <w:p w14:paraId="0351227F" w14:textId="77777777" w:rsidR="008011E3" w:rsidRDefault="008011E3" w:rsidP="00E7469B">
      <w:pPr>
        <w:keepNext/>
        <w:keepLines/>
        <w:ind w:left="720" w:hanging="720"/>
        <w:rPr>
          <w:b/>
        </w:rPr>
      </w:pPr>
    </w:p>
    <w:tbl>
      <w:tblPr>
        <w:tblW w:w="7692" w:type="dxa"/>
        <w:jc w:val="center"/>
        <w:tblLook w:val="04A0" w:firstRow="1" w:lastRow="0" w:firstColumn="1" w:lastColumn="0" w:noHBand="0" w:noVBand="1"/>
      </w:tblPr>
      <w:tblGrid>
        <w:gridCol w:w="2800"/>
        <w:gridCol w:w="1206"/>
        <w:gridCol w:w="1160"/>
        <w:gridCol w:w="1206"/>
        <w:gridCol w:w="1320"/>
      </w:tblGrid>
      <w:tr w:rsidR="00CD1A9E" w:rsidRPr="00E7469B" w14:paraId="3C6C6986" w14:textId="77777777" w:rsidTr="00CD1A9E">
        <w:trPr>
          <w:trHeight w:val="1220"/>
          <w:jc w:val="center"/>
        </w:trPr>
        <w:tc>
          <w:tcPr>
            <w:tcW w:w="2800" w:type="dxa"/>
            <w:tcBorders>
              <w:top w:val="single" w:sz="8" w:space="0" w:color="auto"/>
              <w:left w:val="single" w:sz="8" w:space="0" w:color="auto"/>
              <w:bottom w:val="single" w:sz="8" w:space="0" w:color="auto"/>
              <w:right w:val="nil"/>
            </w:tcBorders>
            <w:shd w:val="clear" w:color="auto" w:fill="auto"/>
            <w:noWrap/>
            <w:vAlign w:val="center"/>
            <w:hideMark/>
          </w:tcPr>
          <w:p w14:paraId="5AA50341" w14:textId="77777777" w:rsidR="00CD1A9E" w:rsidRPr="00E7469B" w:rsidRDefault="00CD1A9E" w:rsidP="00E7469B">
            <w:pPr>
              <w:keepNext/>
              <w:keepLines/>
              <w:widowControl/>
              <w:autoSpaceDE/>
              <w:autoSpaceDN/>
              <w:adjustRightInd/>
              <w:jc w:val="center"/>
              <w:rPr>
                <w:b/>
                <w:bCs/>
                <w:sz w:val="20"/>
                <w:szCs w:val="20"/>
              </w:rPr>
            </w:pPr>
            <w:r w:rsidRPr="00E7469B">
              <w:rPr>
                <w:b/>
                <w:bCs/>
                <w:sz w:val="20"/>
                <w:szCs w:val="20"/>
              </w:rPr>
              <w:t>Supplier</w:t>
            </w:r>
          </w:p>
        </w:tc>
        <w:tc>
          <w:tcPr>
            <w:tcW w:w="120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77AB966" w14:textId="77777777" w:rsidR="00CD1A9E" w:rsidRPr="00E7469B" w:rsidRDefault="00CD1A9E" w:rsidP="00E7469B">
            <w:pPr>
              <w:keepNext/>
              <w:keepLines/>
              <w:widowControl/>
              <w:autoSpaceDE/>
              <w:autoSpaceDN/>
              <w:adjustRightInd/>
              <w:jc w:val="center"/>
              <w:rPr>
                <w:b/>
                <w:bCs/>
                <w:sz w:val="20"/>
                <w:szCs w:val="20"/>
              </w:rPr>
            </w:pPr>
            <w:r w:rsidRPr="00E7469B">
              <w:rPr>
                <w:b/>
                <w:bCs/>
                <w:sz w:val="20"/>
                <w:szCs w:val="20"/>
              </w:rPr>
              <w:t>Total Complaints</w:t>
            </w:r>
          </w:p>
        </w:tc>
        <w:tc>
          <w:tcPr>
            <w:tcW w:w="1160" w:type="dxa"/>
            <w:tcBorders>
              <w:top w:val="single" w:sz="8" w:space="0" w:color="auto"/>
              <w:left w:val="nil"/>
              <w:bottom w:val="single" w:sz="8" w:space="0" w:color="auto"/>
              <w:right w:val="nil"/>
            </w:tcBorders>
            <w:shd w:val="clear" w:color="auto" w:fill="auto"/>
            <w:vAlign w:val="center"/>
            <w:hideMark/>
          </w:tcPr>
          <w:p w14:paraId="0A272DF0" w14:textId="77777777" w:rsidR="00CD1A9E" w:rsidRPr="00E7469B" w:rsidRDefault="00CD1A9E" w:rsidP="00E7469B">
            <w:pPr>
              <w:keepNext/>
              <w:keepLines/>
              <w:widowControl/>
              <w:autoSpaceDE/>
              <w:autoSpaceDN/>
              <w:adjustRightInd/>
              <w:jc w:val="center"/>
              <w:rPr>
                <w:b/>
                <w:bCs/>
                <w:sz w:val="20"/>
                <w:szCs w:val="20"/>
              </w:rPr>
            </w:pPr>
            <w:r w:rsidRPr="00E7469B">
              <w:rPr>
                <w:b/>
                <w:bCs/>
                <w:sz w:val="20"/>
                <w:szCs w:val="20"/>
              </w:rPr>
              <w:t>Total # of Customers</w:t>
            </w:r>
          </w:p>
        </w:tc>
        <w:tc>
          <w:tcPr>
            <w:tcW w:w="120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C1A064A" w14:textId="77777777" w:rsidR="00CD1A9E" w:rsidRPr="00E7469B" w:rsidRDefault="00CD1A9E" w:rsidP="00E7469B">
            <w:pPr>
              <w:keepNext/>
              <w:keepLines/>
              <w:widowControl/>
              <w:autoSpaceDE/>
              <w:autoSpaceDN/>
              <w:adjustRightInd/>
              <w:jc w:val="center"/>
              <w:rPr>
                <w:b/>
                <w:bCs/>
                <w:sz w:val="20"/>
                <w:szCs w:val="20"/>
              </w:rPr>
            </w:pPr>
            <w:r w:rsidRPr="00E7469B">
              <w:rPr>
                <w:b/>
                <w:bCs/>
                <w:sz w:val="20"/>
                <w:szCs w:val="20"/>
              </w:rPr>
              <w:t># of ESL Complaints</w:t>
            </w:r>
          </w:p>
        </w:tc>
        <w:tc>
          <w:tcPr>
            <w:tcW w:w="1320" w:type="dxa"/>
            <w:tcBorders>
              <w:top w:val="single" w:sz="8" w:space="0" w:color="auto"/>
              <w:left w:val="nil"/>
              <w:bottom w:val="single" w:sz="8" w:space="0" w:color="auto"/>
              <w:right w:val="single" w:sz="4" w:space="0" w:color="auto"/>
            </w:tcBorders>
            <w:shd w:val="clear" w:color="auto" w:fill="auto"/>
            <w:vAlign w:val="center"/>
            <w:hideMark/>
          </w:tcPr>
          <w:p w14:paraId="2D6FFDE8" w14:textId="77777777" w:rsidR="00CD1A9E" w:rsidRPr="00E7469B" w:rsidRDefault="00CD1A9E" w:rsidP="00E7469B">
            <w:pPr>
              <w:keepNext/>
              <w:keepLines/>
              <w:widowControl/>
              <w:autoSpaceDE/>
              <w:autoSpaceDN/>
              <w:adjustRightInd/>
              <w:jc w:val="center"/>
              <w:rPr>
                <w:b/>
                <w:bCs/>
                <w:sz w:val="20"/>
                <w:szCs w:val="20"/>
              </w:rPr>
            </w:pPr>
            <w:r w:rsidRPr="00E7469B">
              <w:rPr>
                <w:b/>
                <w:bCs/>
                <w:sz w:val="20"/>
                <w:szCs w:val="20"/>
              </w:rPr>
              <w:t>% of Complaints Relating to ESL Consumers</w:t>
            </w:r>
          </w:p>
        </w:tc>
      </w:tr>
      <w:tr w:rsidR="00CD1A9E" w:rsidRPr="00E7469B" w14:paraId="3E4BED43" w14:textId="77777777" w:rsidTr="00CD1A9E">
        <w:trPr>
          <w:trHeight w:val="340"/>
          <w:jc w:val="center"/>
        </w:trPr>
        <w:tc>
          <w:tcPr>
            <w:tcW w:w="2800" w:type="dxa"/>
            <w:tcBorders>
              <w:top w:val="nil"/>
              <w:left w:val="single" w:sz="8" w:space="0" w:color="auto"/>
              <w:bottom w:val="single" w:sz="4" w:space="0" w:color="auto"/>
              <w:right w:val="single" w:sz="4" w:space="0" w:color="auto"/>
            </w:tcBorders>
            <w:shd w:val="clear" w:color="000000" w:fill="D9D9D9"/>
            <w:noWrap/>
            <w:vAlign w:val="bottom"/>
            <w:hideMark/>
          </w:tcPr>
          <w:p w14:paraId="26191505" w14:textId="77777777" w:rsidR="00CD1A9E" w:rsidRPr="00E7469B" w:rsidRDefault="00CD1A9E" w:rsidP="00E7469B">
            <w:pPr>
              <w:keepNext/>
              <w:keepLines/>
              <w:widowControl/>
              <w:autoSpaceDE/>
              <w:autoSpaceDN/>
              <w:adjustRightInd/>
              <w:rPr>
                <w:sz w:val="20"/>
                <w:szCs w:val="20"/>
              </w:rPr>
            </w:pPr>
            <w:r w:rsidRPr="00E7469B">
              <w:rPr>
                <w:sz w:val="20"/>
                <w:szCs w:val="20"/>
              </w:rPr>
              <w:t>Starion</w:t>
            </w:r>
          </w:p>
        </w:tc>
        <w:tc>
          <w:tcPr>
            <w:tcW w:w="1206" w:type="dxa"/>
            <w:tcBorders>
              <w:top w:val="nil"/>
              <w:left w:val="nil"/>
              <w:bottom w:val="single" w:sz="4" w:space="0" w:color="auto"/>
              <w:right w:val="single" w:sz="4" w:space="0" w:color="auto"/>
            </w:tcBorders>
            <w:shd w:val="clear" w:color="000000" w:fill="D9D9D9"/>
            <w:noWrap/>
            <w:vAlign w:val="bottom"/>
            <w:hideMark/>
          </w:tcPr>
          <w:p w14:paraId="2B482467"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190</w:t>
            </w:r>
          </w:p>
        </w:tc>
        <w:tc>
          <w:tcPr>
            <w:tcW w:w="1160" w:type="dxa"/>
            <w:tcBorders>
              <w:top w:val="nil"/>
              <w:left w:val="nil"/>
              <w:bottom w:val="single" w:sz="4" w:space="0" w:color="auto"/>
              <w:right w:val="single" w:sz="4" w:space="0" w:color="auto"/>
            </w:tcBorders>
            <w:shd w:val="clear" w:color="000000" w:fill="D9D9D9"/>
            <w:noWrap/>
            <w:vAlign w:val="bottom"/>
            <w:hideMark/>
          </w:tcPr>
          <w:p w14:paraId="09A9571E"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26,258 </w:t>
            </w:r>
          </w:p>
        </w:tc>
        <w:tc>
          <w:tcPr>
            <w:tcW w:w="1206" w:type="dxa"/>
            <w:tcBorders>
              <w:top w:val="nil"/>
              <w:left w:val="nil"/>
              <w:bottom w:val="single" w:sz="4" w:space="0" w:color="auto"/>
              <w:right w:val="single" w:sz="4" w:space="0" w:color="auto"/>
            </w:tcBorders>
            <w:shd w:val="clear" w:color="000000" w:fill="D9D9D9"/>
            <w:noWrap/>
            <w:vAlign w:val="bottom"/>
            <w:hideMark/>
          </w:tcPr>
          <w:p w14:paraId="407FC941"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15</w:t>
            </w:r>
          </w:p>
        </w:tc>
        <w:tc>
          <w:tcPr>
            <w:tcW w:w="1320" w:type="dxa"/>
            <w:tcBorders>
              <w:top w:val="nil"/>
              <w:left w:val="nil"/>
              <w:bottom w:val="single" w:sz="4" w:space="0" w:color="auto"/>
              <w:right w:val="single" w:sz="4" w:space="0" w:color="auto"/>
            </w:tcBorders>
            <w:shd w:val="clear" w:color="000000" w:fill="D9D9D9"/>
            <w:noWrap/>
            <w:vAlign w:val="bottom"/>
            <w:hideMark/>
          </w:tcPr>
          <w:p w14:paraId="015894AA" w14:textId="77777777" w:rsidR="00CD1A9E" w:rsidRPr="00E7469B" w:rsidRDefault="00CD1A9E" w:rsidP="00E7469B">
            <w:pPr>
              <w:keepNext/>
              <w:keepLines/>
              <w:widowControl/>
              <w:autoSpaceDE/>
              <w:autoSpaceDN/>
              <w:adjustRightInd/>
              <w:jc w:val="right"/>
              <w:rPr>
                <w:sz w:val="20"/>
                <w:szCs w:val="20"/>
              </w:rPr>
            </w:pPr>
            <w:r w:rsidRPr="00E7469B">
              <w:rPr>
                <w:sz w:val="20"/>
                <w:szCs w:val="20"/>
              </w:rPr>
              <w:t>8%</w:t>
            </w:r>
          </w:p>
        </w:tc>
      </w:tr>
      <w:tr w:rsidR="00CD1A9E" w:rsidRPr="00E7469B" w14:paraId="52B042E2"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01DA0354" w14:textId="77777777" w:rsidR="00CD1A9E" w:rsidRPr="00E7469B" w:rsidRDefault="00CD1A9E" w:rsidP="00E7469B">
            <w:pPr>
              <w:keepNext/>
              <w:keepLines/>
              <w:widowControl/>
              <w:autoSpaceDE/>
              <w:autoSpaceDN/>
              <w:adjustRightInd/>
              <w:rPr>
                <w:sz w:val="20"/>
                <w:szCs w:val="20"/>
              </w:rPr>
            </w:pPr>
            <w:r w:rsidRPr="00E7469B">
              <w:rPr>
                <w:sz w:val="20"/>
                <w:szCs w:val="20"/>
              </w:rPr>
              <w:t>Liberty Power</w:t>
            </w:r>
          </w:p>
        </w:tc>
        <w:tc>
          <w:tcPr>
            <w:tcW w:w="1206" w:type="dxa"/>
            <w:tcBorders>
              <w:top w:val="nil"/>
              <w:left w:val="nil"/>
              <w:bottom w:val="single" w:sz="4" w:space="0" w:color="auto"/>
              <w:right w:val="single" w:sz="4" w:space="0" w:color="auto"/>
            </w:tcBorders>
            <w:shd w:val="clear" w:color="auto" w:fill="auto"/>
            <w:noWrap/>
            <w:vAlign w:val="bottom"/>
            <w:hideMark/>
          </w:tcPr>
          <w:p w14:paraId="23BE603E"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19</w:t>
            </w:r>
          </w:p>
        </w:tc>
        <w:tc>
          <w:tcPr>
            <w:tcW w:w="1160" w:type="dxa"/>
            <w:tcBorders>
              <w:top w:val="nil"/>
              <w:left w:val="nil"/>
              <w:bottom w:val="single" w:sz="4" w:space="0" w:color="auto"/>
              <w:right w:val="single" w:sz="4" w:space="0" w:color="auto"/>
            </w:tcBorders>
            <w:shd w:val="clear" w:color="auto" w:fill="auto"/>
            <w:noWrap/>
            <w:vAlign w:val="bottom"/>
            <w:hideMark/>
          </w:tcPr>
          <w:p w14:paraId="597F033D"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2,755 </w:t>
            </w:r>
          </w:p>
        </w:tc>
        <w:tc>
          <w:tcPr>
            <w:tcW w:w="1206" w:type="dxa"/>
            <w:tcBorders>
              <w:top w:val="nil"/>
              <w:left w:val="nil"/>
              <w:bottom w:val="single" w:sz="4" w:space="0" w:color="auto"/>
              <w:right w:val="single" w:sz="4" w:space="0" w:color="auto"/>
            </w:tcBorders>
            <w:shd w:val="clear" w:color="auto" w:fill="auto"/>
            <w:noWrap/>
            <w:vAlign w:val="bottom"/>
            <w:hideMark/>
          </w:tcPr>
          <w:p w14:paraId="78AC2E66"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14:paraId="007CE6D6" w14:textId="77777777" w:rsidR="00CD1A9E" w:rsidRPr="00E7469B" w:rsidRDefault="00CD1A9E" w:rsidP="00E7469B">
            <w:pPr>
              <w:keepNext/>
              <w:keepLines/>
              <w:widowControl/>
              <w:autoSpaceDE/>
              <w:autoSpaceDN/>
              <w:adjustRightInd/>
              <w:jc w:val="right"/>
              <w:rPr>
                <w:sz w:val="20"/>
                <w:szCs w:val="20"/>
              </w:rPr>
            </w:pPr>
            <w:r w:rsidRPr="00E7469B">
              <w:rPr>
                <w:sz w:val="20"/>
                <w:szCs w:val="20"/>
              </w:rPr>
              <w:t>5%</w:t>
            </w:r>
          </w:p>
        </w:tc>
      </w:tr>
      <w:tr w:rsidR="00CD1A9E" w:rsidRPr="00E7469B" w14:paraId="0535BE81"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000000" w:fill="D9D9D9"/>
            <w:noWrap/>
            <w:vAlign w:val="bottom"/>
            <w:hideMark/>
          </w:tcPr>
          <w:p w14:paraId="4F02B936" w14:textId="77777777" w:rsidR="00CD1A9E" w:rsidRPr="00E7469B" w:rsidRDefault="00CD1A9E" w:rsidP="00E7469B">
            <w:pPr>
              <w:keepNext/>
              <w:keepLines/>
              <w:widowControl/>
              <w:autoSpaceDE/>
              <w:autoSpaceDN/>
              <w:adjustRightInd/>
              <w:rPr>
                <w:sz w:val="20"/>
                <w:szCs w:val="20"/>
              </w:rPr>
            </w:pPr>
            <w:r w:rsidRPr="00E7469B">
              <w:rPr>
                <w:sz w:val="20"/>
                <w:szCs w:val="20"/>
              </w:rPr>
              <w:t>Clearview</w:t>
            </w:r>
          </w:p>
        </w:tc>
        <w:tc>
          <w:tcPr>
            <w:tcW w:w="1206" w:type="dxa"/>
            <w:tcBorders>
              <w:top w:val="nil"/>
              <w:left w:val="nil"/>
              <w:bottom w:val="single" w:sz="4" w:space="0" w:color="auto"/>
              <w:right w:val="single" w:sz="4" w:space="0" w:color="auto"/>
            </w:tcBorders>
            <w:shd w:val="clear" w:color="000000" w:fill="D9D9D9"/>
            <w:noWrap/>
            <w:vAlign w:val="bottom"/>
            <w:hideMark/>
          </w:tcPr>
          <w:p w14:paraId="36881B2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41</w:t>
            </w:r>
          </w:p>
        </w:tc>
        <w:tc>
          <w:tcPr>
            <w:tcW w:w="1160" w:type="dxa"/>
            <w:tcBorders>
              <w:top w:val="nil"/>
              <w:left w:val="nil"/>
              <w:bottom w:val="single" w:sz="4" w:space="0" w:color="auto"/>
              <w:right w:val="single" w:sz="4" w:space="0" w:color="auto"/>
            </w:tcBorders>
            <w:shd w:val="clear" w:color="000000" w:fill="D9D9D9"/>
            <w:noWrap/>
            <w:vAlign w:val="bottom"/>
            <w:hideMark/>
          </w:tcPr>
          <w:p w14:paraId="1E861BB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13,325 </w:t>
            </w:r>
          </w:p>
        </w:tc>
        <w:tc>
          <w:tcPr>
            <w:tcW w:w="1206" w:type="dxa"/>
            <w:tcBorders>
              <w:top w:val="nil"/>
              <w:left w:val="nil"/>
              <w:bottom w:val="single" w:sz="4" w:space="0" w:color="auto"/>
              <w:right w:val="single" w:sz="4" w:space="0" w:color="auto"/>
            </w:tcBorders>
            <w:shd w:val="clear" w:color="000000" w:fill="D9D9D9"/>
            <w:noWrap/>
            <w:vAlign w:val="bottom"/>
            <w:hideMark/>
          </w:tcPr>
          <w:p w14:paraId="19E1AA40" w14:textId="77777777" w:rsidR="00CD1A9E" w:rsidRPr="00E7469B" w:rsidRDefault="00CD1A9E" w:rsidP="00E7469B">
            <w:pPr>
              <w:keepNext/>
              <w:keepLines/>
              <w:widowControl/>
              <w:autoSpaceDE/>
              <w:autoSpaceDN/>
              <w:adjustRightInd/>
              <w:jc w:val="right"/>
              <w:rPr>
                <w:sz w:val="20"/>
                <w:szCs w:val="20"/>
              </w:rPr>
            </w:pPr>
            <w:r w:rsidRPr="00E7469B">
              <w:rPr>
                <w:sz w:val="20"/>
                <w:szCs w:val="20"/>
              </w:rPr>
              <w:t>3</w:t>
            </w:r>
          </w:p>
        </w:tc>
        <w:tc>
          <w:tcPr>
            <w:tcW w:w="1320" w:type="dxa"/>
            <w:tcBorders>
              <w:top w:val="nil"/>
              <w:left w:val="nil"/>
              <w:bottom w:val="single" w:sz="4" w:space="0" w:color="auto"/>
              <w:right w:val="single" w:sz="4" w:space="0" w:color="auto"/>
            </w:tcBorders>
            <w:shd w:val="clear" w:color="000000" w:fill="D9D9D9"/>
            <w:noWrap/>
            <w:vAlign w:val="bottom"/>
            <w:hideMark/>
          </w:tcPr>
          <w:p w14:paraId="014D1546" w14:textId="77777777" w:rsidR="00CD1A9E" w:rsidRPr="00E7469B" w:rsidRDefault="00CD1A9E" w:rsidP="00E7469B">
            <w:pPr>
              <w:keepNext/>
              <w:keepLines/>
              <w:widowControl/>
              <w:autoSpaceDE/>
              <w:autoSpaceDN/>
              <w:adjustRightInd/>
              <w:jc w:val="right"/>
              <w:rPr>
                <w:sz w:val="20"/>
                <w:szCs w:val="20"/>
              </w:rPr>
            </w:pPr>
            <w:r w:rsidRPr="00E7469B">
              <w:rPr>
                <w:sz w:val="20"/>
                <w:szCs w:val="20"/>
              </w:rPr>
              <w:t>7%</w:t>
            </w:r>
          </w:p>
        </w:tc>
      </w:tr>
      <w:tr w:rsidR="00CD1A9E" w:rsidRPr="00E7469B" w14:paraId="22398EA5"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79DA0472" w14:textId="77777777" w:rsidR="00CD1A9E" w:rsidRPr="00E7469B" w:rsidRDefault="00CD1A9E" w:rsidP="00E7469B">
            <w:pPr>
              <w:keepNext/>
              <w:keepLines/>
              <w:widowControl/>
              <w:autoSpaceDE/>
              <w:autoSpaceDN/>
              <w:adjustRightInd/>
              <w:rPr>
                <w:sz w:val="20"/>
                <w:szCs w:val="20"/>
              </w:rPr>
            </w:pPr>
            <w:r w:rsidRPr="00E7469B">
              <w:rPr>
                <w:sz w:val="20"/>
                <w:szCs w:val="20"/>
              </w:rPr>
              <w:t>Palmco Power</w:t>
            </w:r>
          </w:p>
        </w:tc>
        <w:tc>
          <w:tcPr>
            <w:tcW w:w="1206" w:type="dxa"/>
            <w:tcBorders>
              <w:top w:val="nil"/>
              <w:left w:val="nil"/>
              <w:bottom w:val="single" w:sz="4" w:space="0" w:color="auto"/>
              <w:right w:val="single" w:sz="4" w:space="0" w:color="auto"/>
            </w:tcBorders>
            <w:shd w:val="clear" w:color="auto" w:fill="auto"/>
            <w:noWrap/>
            <w:vAlign w:val="bottom"/>
            <w:hideMark/>
          </w:tcPr>
          <w:p w14:paraId="3BE98DD9" w14:textId="77777777" w:rsidR="00CD1A9E" w:rsidRPr="00E7469B" w:rsidRDefault="00CD1A9E" w:rsidP="00E7469B">
            <w:pPr>
              <w:keepNext/>
              <w:keepLines/>
              <w:widowControl/>
              <w:autoSpaceDE/>
              <w:autoSpaceDN/>
              <w:adjustRightInd/>
              <w:jc w:val="right"/>
              <w:rPr>
                <w:sz w:val="20"/>
                <w:szCs w:val="20"/>
              </w:rPr>
            </w:pPr>
            <w:r w:rsidRPr="00E7469B">
              <w:rPr>
                <w:sz w:val="20"/>
                <w:szCs w:val="20"/>
              </w:rPr>
              <w:t>21</w:t>
            </w:r>
          </w:p>
        </w:tc>
        <w:tc>
          <w:tcPr>
            <w:tcW w:w="1160" w:type="dxa"/>
            <w:tcBorders>
              <w:top w:val="nil"/>
              <w:left w:val="nil"/>
              <w:bottom w:val="single" w:sz="4" w:space="0" w:color="auto"/>
              <w:right w:val="single" w:sz="4" w:space="0" w:color="auto"/>
            </w:tcBorders>
            <w:shd w:val="clear" w:color="auto" w:fill="auto"/>
            <w:noWrap/>
            <w:vAlign w:val="bottom"/>
            <w:hideMark/>
          </w:tcPr>
          <w:p w14:paraId="09F37ECC"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6,975 </w:t>
            </w:r>
          </w:p>
        </w:tc>
        <w:tc>
          <w:tcPr>
            <w:tcW w:w="1206" w:type="dxa"/>
            <w:tcBorders>
              <w:top w:val="nil"/>
              <w:left w:val="nil"/>
              <w:bottom w:val="single" w:sz="4" w:space="0" w:color="auto"/>
              <w:right w:val="single" w:sz="4" w:space="0" w:color="auto"/>
            </w:tcBorders>
            <w:shd w:val="clear" w:color="auto" w:fill="auto"/>
            <w:noWrap/>
            <w:vAlign w:val="bottom"/>
            <w:hideMark/>
          </w:tcPr>
          <w:p w14:paraId="5D541E17"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14:paraId="7F134B38" w14:textId="77777777" w:rsidR="00CD1A9E" w:rsidRPr="00E7469B" w:rsidRDefault="00CD1A9E" w:rsidP="00E7469B">
            <w:pPr>
              <w:keepNext/>
              <w:keepLines/>
              <w:widowControl/>
              <w:autoSpaceDE/>
              <w:autoSpaceDN/>
              <w:adjustRightInd/>
              <w:jc w:val="right"/>
              <w:rPr>
                <w:sz w:val="20"/>
                <w:szCs w:val="20"/>
              </w:rPr>
            </w:pPr>
            <w:r w:rsidRPr="00E7469B">
              <w:rPr>
                <w:sz w:val="20"/>
                <w:szCs w:val="20"/>
              </w:rPr>
              <w:t>5%</w:t>
            </w:r>
          </w:p>
        </w:tc>
      </w:tr>
      <w:tr w:rsidR="00CD1A9E" w:rsidRPr="00E7469B" w14:paraId="3C7455D3"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000000" w:fill="D9D9D9"/>
            <w:noWrap/>
            <w:vAlign w:val="bottom"/>
            <w:hideMark/>
          </w:tcPr>
          <w:p w14:paraId="1522079E" w14:textId="77777777" w:rsidR="00CD1A9E" w:rsidRPr="00E7469B" w:rsidRDefault="00CD1A9E" w:rsidP="00E7469B">
            <w:pPr>
              <w:keepNext/>
              <w:keepLines/>
              <w:widowControl/>
              <w:autoSpaceDE/>
              <w:autoSpaceDN/>
              <w:adjustRightInd/>
              <w:rPr>
                <w:sz w:val="20"/>
                <w:szCs w:val="20"/>
              </w:rPr>
            </w:pPr>
            <w:r w:rsidRPr="00E7469B">
              <w:rPr>
                <w:sz w:val="20"/>
                <w:szCs w:val="20"/>
              </w:rPr>
              <w:t>Choice</w:t>
            </w:r>
          </w:p>
        </w:tc>
        <w:tc>
          <w:tcPr>
            <w:tcW w:w="1206" w:type="dxa"/>
            <w:tcBorders>
              <w:top w:val="nil"/>
              <w:left w:val="nil"/>
              <w:bottom w:val="single" w:sz="4" w:space="0" w:color="auto"/>
              <w:right w:val="single" w:sz="4" w:space="0" w:color="auto"/>
            </w:tcBorders>
            <w:shd w:val="clear" w:color="000000" w:fill="D9D9D9"/>
            <w:noWrap/>
            <w:vAlign w:val="bottom"/>
            <w:hideMark/>
          </w:tcPr>
          <w:p w14:paraId="558AEA4D" w14:textId="77777777" w:rsidR="00CD1A9E" w:rsidRPr="00E7469B" w:rsidRDefault="00CD1A9E" w:rsidP="00E7469B">
            <w:pPr>
              <w:keepNext/>
              <w:keepLines/>
              <w:widowControl/>
              <w:autoSpaceDE/>
              <w:autoSpaceDN/>
              <w:adjustRightInd/>
              <w:jc w:val="right"/>
              <w:rPr>
                <w:sz w:val="20"/>
                <w:szCs w:val="20"/>
              </w:rPr>
            </w:pPr>
            <w:r w:rsidRPr="00E7469B">
              <w:rPr>
                <w:sz w:val="20"/>
                <w:szCs w:val="20"/>
              </w:rPr>
              <w:t>34</w:t>
            </w:r>
          </w:p>
        </w:tc>
        <w:tc>
          <w:tcPr>
            <w:tcW w:w="1160" w:type="dxa"/>
            <w:tcBorders>
              <w:top w:val="nil"/>
              <w:left w:val="nil"/>
              <w:bottom w:val="single" w:sz="4" w:space="0" w:color="auto"/>
              <w:right w:val="single" w:sz="4" w:space="0" w:color="auto"/>
            </w:tcBorders>
            <w:shd w:val="clear" w:color="000000" w:fill="D9D9D9"/>
            <w:noWrap/>
            <w:vAlign w:val="bottom"/>
            <w:hideMark/>
          </w:tcPr>
          <w:p w14:paraId="4D4B64C3"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13,036 </w:t>
            </w:r>
          </w:p>
        </w:tc>
        <w:tc>
          <w:tcPr>
            <w:tcW w:w="1206" w:type="dxa"/>
            <w:tcBorders>
              <w:top w:val="nil"/>
              <w:left w:val="nil"/>
              <w:bottom w:val="single" w:sz="4" w:space="0" w:color="auto"/>
              <w:right w:val="single" w:sz="4" w:space="0" w:color="auto"/>
            </w:tcBorders>
            <w:shd w:val="clear" w:color="000000" w:fill="D9D9D9"/>
            <w:noWrap/>
            <w:vAlign w:val="bottom"/>
            <w:hideMark/>
          </w:tcPr>
          <w:p w14:paraId="6065700B"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w:t>
            </w:r>
          </w:p>
        </w:tc>
        <w:tc>
          <w:tcPr>
            <w:tcW w:w="1320" w:type="dxa"/>
            <w:tcBorders>
              <w:top w:val="nil"/>
              <w:left w:val="nil"/>
              <w:bottom w:val="single" w:sz="4" w:space="0" w:color="auto"/>
              <w:right w:val="single" w:sz="4" w:space="0" w:color="auto"/>
            </w:tcBorders>
            <w:shd w:val="clear" w:color="000000" w:fill="D9D9D9"/>
            <w:noWrap/>
            <w:vAlign w:val="bottom"/>
            <w:hideMark/>
          </w:tcPr>
          <w:p w14:paraId="2E8842B8" w14:textId="77777777" w:rsidR="00CD1A9E" w:rsidRPr="00E7469B" w:rsidRDefault="00CD1A9E" w:rsidP="00E7469B">
            <w:pPr>
              <w:keepNext/>
              <w:keepLines/>
              <w:widowControl/>
              <w:autoSpaceDE/>
              <w:autoSpaceDN/>
              <w:adjustRightInd/>
              <w:jc w:val="right"/>
              <w:rPr>
                <w:sz w:val="20"/>
                <w:szCs w:val="20"/>
              </w:rPr>
            </w:pPr>
            <w:r w:rsidRPr="00E7469B">
              <w:rPr>
                <w:sz w:val="20"/>
                <w:szCs w:val="20"/>
              </w:rPr>
              <w:t>3%</w:t>
            </w:r>
          </w:p>
        </w:tc>
      </w:tr>
      <w:tr w:rsidR="00CD1A9E" w:rsidRPr="00E7469B" w14:paraId="464D5C95"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560D5658" w14:textId="77777777" w:rsidR="00CD1A9E" w:rsidRPr="00E7469B" w:rsidRDefault="00CD1A9E" w:rsidP="00E7469B">
            <w:pPr>
              <w:keepNext/>
              <w:keepLines/>
              <w:widowControl/>
              <w:autoSpaceDE/>
              <w:autoSpaceDN/>
              <w:adjustRightInd/>
              <w:rPr>
                <w:sz w:val="20"/>
                <w:szCs w:val="20"/>
              </w:rPr>
            </w:pPr>
            <w:r w:rsidRPr="00E7469B">
              <w:rPr>
                <w:sz w:val="20"/>
                <w:szCs w:val="20"/>
              </w:rPr>
              <w:t xml:space="preserve">Constellation </w:t>
            </w:r>
          </w:p>
        </w:tc>
        <w:tc>
          <w:tcPr>
            <w:tcW w:w="1206" w:type="dxa"/>
            <w:tcBorders>
              <w:top w:val="nil"/>
              <w:left w:val="nil"/>
              <w:bottom w:val="single" w:sz="4" w:space="0" w:color="auto"/>
              <w:right w:val="single" w:sz="4" w:space="0" w:color="auto"/>
            </w:tcBorders>
            <w:shd w:val="clear" w:color="auto" w:fill="auto"/>
            <w:noWrap/>
            <w:vAlign w:val="bottom"/>
            <w:hideMark/>
          </w:tcPr>
          <w:p w14:paraId="58B64DE0" w14:textId="77777777" w:rsidR="00CD1A9E" w:rsidRPr="00E7469B" w:rsidRDefault="00CD1A9E" w:rsidP="00E7469B">
            <w:pPr>
              <w:keepNext/>
              <w:keepLines/>
              <w:widowControl/>
              <w:autoSpaceDE/>
              <w:autoSpaceDN/>
              <w:adjustRightInd/>
              <w:jc w:val="right"/>
              <w:rPr>
                <w:sz w:val="20"/>
                <w:szCs w:val="20"/>
              </w:rPr>
            </w:pPr>
            <w:r w:rsidRPr="00E7469B">
              <w:rPr>
                <w:sz w:val="20"/>
                <w:szCs w:val="20"/>
              </w:rPr>
              <w:t>27</w:t>
            </w:r>
          </w:p>
        </w:tc>
        <w:tc>
          <w:tcPr>
            <w:tcW w:w="1160" w:type="dxa"/>
            <w:tcBorders>
              <w:top w:val="nil"/>
              <w:left w:val="nil"/>
              <w:bottom w:val="single" w:sz="4" w:space="0" w:color="auto"/>
              <w:right w:val="single" w:sz="4" w:space="0" w:color="auto"/>
            </w:tcBorders>
            <w:shd w:val="clear" w:color="auto" w:fill="auto"/>
            <w:noWrap/>
            <w:vAlign w:val="bottom"/>
            <w:hideMark/>
          </w:tcPr>
          <w:p w14:paraId="64D6776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18,306 </w:t>
            </w:r>
          </w:p>
        </w:tc>
        <w:tc>
          <w:tcPr>
            <w:tcW w:w="1206" w:type="dxa"/>
            <w:tcBorders>
              <w:top w:val="nil"/>
              <w:left w:val="nil"/>
              <w:bottom w:val="single" w:sz="4" w:space="0" w:color="auto"/>
              <w:right w:val="single" w:sz="4" w:space="0" w:color="auto"/>
            </w:tcBorders>
            <w:shd w:val="clear" w:color="auto" w:fill="auto"/>
            <w:noWrap/>
            <w:vAlign w:val="bottom"/>
            <w:hideMark/>
          </w:tcPr>
          <w:p w14:paraId="12AF428C"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14:paraId="6898BB11" w14:textId="77777777" w:rsidR="00CD1A9E" w:rsidRPr="00E7469B" w:rsidRDefault="00CD1A9E" w:rsidP="00E7469B">
            <w:pPr>
              <w:keepNext/>
              <w:keepLines/>
              <w:widowControl/>
              <w:autoSpaceDE/>
              <w:autoSpaceDN/>
              <w:adjustRightInd/>
              <w:jc w:val="right"/>
              <w:rPr>
                <w:sz w:val="20"/>
                <w:szCs w:val="20"/>
              </w:rPr>
            </w:pPr>
            <w:r w:rsidRPr="00E7469B">
              <w:rPr>
                <w:sz w:val="20"/>
                <w:szCs w:val="20"/>
              </w:rPr>
              <w:t>4%</w:t>
            </w:r>
          </w:p>
        </w:tc>
      </w:tr>
      <w:tr w:rsidR="00CD1A9E" w:rsidRPr="00E7469B" w14:paraId="48B7653C"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000000" w:fill="D9D9D9"/>
            <w:noWrap/>
            <w:vAlign w:val="bottom"/>
            <w:hideMark/>
          </w:tcPr>
          <w:p w14:paraId="20E59F11" w14:textId="77777777" w:rsidR="00CD1A9E" w:rsidRPr="00E7469B" w:rsidRDefault="00CD1A9E" w:rsidP="00E7469B">
            <w:pPr>
              <w:keepNext/>
              <w:keepLines/>
              <w:widowControl/>
              <w:autoSpaceDE/>
              <w:autoSpaceDN/>
              <w:adjustRightInd/>
              <w:rPr>
                <w:sz w:val="20"/>
                <w:szCs w:val="20"/>
              </w:rPr>
            </w:pPr>
            <w:r w:rsidRPr="00E7469B">
              <w:rPr>
                <w:sz w:val="20"/>
                <w:szCs w:val="20"/>
              </w:rPr>
              <w:t>Public Power &amp; Utility</w:t>
            </w:r>
          </w:p>
        </w:tc>
        <w:tc>
          <w:tcPr>
            <w:tcW w:w="1206" w:type="dxa"/>
            <w:tcBorders>
              <w:top w:val="nil"/>
              <w:left w:val="nil"/>
              <w:bottom w:val="single" w:sz="4" w:space="0" w:color="auto"/>
              <w:right w:val="single" w:sz="4" w:space="0" w:color="auto"/>
            </w:tcBorders>
            <w:shd w:val="clear" w:color="000000" w:fill="D9D9D9"/>
            <w:noWrap/>
            <w:vAlign w:val="bottom"/>
            <w:hideMark/>
          </w:tcPr>
          <w:p w14:paraId="241407F9"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133</w:t>
            </w:r>
          </w:p>
        </w:tc>
        <w:tc>
          <w:tcPr>
            <w:tcW w:w="1160" w:type="dxa"/>
            <w:tcBorders>
              <w:top w:val="nil"/>
              <w:left w:val="nil"/>
              <w:bottom w:val="single" w:sz="4" w:space="0" w:color="auto"/>
              <w:right w:val="single" w:sz="4" w:space="0" w:color="auto"/>
            </w:tcBorders>
            <w:shd w:val="clear" w:color="000000" w:fill="D9D9D9"/>
            <w:noWrap/>
            <w:vAlign w:val="bottom"/>
            <w:hideMark/>
          </w:tcPr>
          <w:p w14:paraId="2F82A929"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82,089 </w:t>
            </w:r>
          </w:p>
        </w:tc>
        <w:tc>
          <w:tcPr>
            <w:tcW w:w="1206" w:type="dxa"/>
            <w:tcBorders>
              <w:top w:val="nil"/>
              <w:left w:val="nil"/>
              <w:bottom w:val="single" w:sz="4" w:space="0" w:color="auto"/>
              <w:right w:val="single" w:sz="4" w:space="0" w:color="auto"/>
            </w:tcBorders>
            <w:shd w:val="clear" w:color="000000" w:fill="D9D9D9"/>
            <w:noWrap/>
            <w:vAlign w:val="bottom"/>
            <w:hideMark/>
          </w:tcPr>
          <w:p w14:paraId="42A04B3B" w14:textId="77777777" w:rsidR="00CD1A9E" w:rsidRPr="00E7469B" w:rsidRDefault="00CD1A9E" w:rsidP="00E7469B">
            <w:pPr>
              <w:keepNext/>
              <w:keepLines/>
              <w:widowControl/>
              <w:autoSpaceDE/>
              <w:autoSpaceDN/>
              <w:adjustRightInd/>
              <w:jc w:val="right"/>
              <w:rPr>
                <w:sz w:val="20"/>
                <w:szCs w:val="20"/>
              </w:rPr>
            </w:pPr>
            <w:r w:rsidRPr="00E7469B">
              <w:rPr>
                <w:sz w:val="20"/>
                <w:szCs w:val="20"/>
              </w:rPr>
              <w:t>3</w:t>
            </w:r>
          </w:p>
        </w:tc>
        <w:tc>
          <w:tcPr>
            <w:tcW w:w="1320" w:type="dxa"/>
            <w:tcBorders>
              <w:top w:val="nil"/>
              <w:left w:val="nil"/>
              <w:bottom w:val="single" w:sz="4" w:space="0" w:color="auto"/>
              <w:right w:val="single" w:sz="4" w:space="0" w:color="auto"/>
            </w:tcBorders>
            <w:shd w:val="clear" w:color="000000" w:fill="D9D9D9"/>
            <w:noWrap/>
            <w:vAlign w:val="bottom"/>
            <w:hideMark/>
          </w:tcPr>
          <w:p w14:paraId="1A72FF43" w14:textId="77777777" w:rsidR="00CD1A9E" w:rsidRPr="00E7469B" w:rsidRDefault="00CD1A9E" w:rsidP="00E7469B">
            <w:pPr>
              <w:keepNext/>
              <w:keepLines/>
              <w:widowControl/>
              <w:autoSpaceDE/>
              <w:autoSpaceDN/>
              <w:adjustRightInd/>
              <w:jc w:val="right"/>
              <w:rPr>
                <w:sz w:val="20"/>
                <w:szCs w:val="20"/>
              </w:rPr>
            </w:pPr>
            <w:r w:rsidRPr="00E7469B">
              <w:rPr>
                <w:sz w:val="20"/>
                <w:szCs w:val="20"/>
              </w:rPr>
              <w:t>2%</w:t>
            </w:r>
          </w:p>
        </w:tc>
      </w:tr>
      <w:tr w:rsidR="00CD1A9E" w:rsidRPr="00E7469B" w14:paraId="7AC295C4"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3EB39BF8" w14:textId="77777777" w:rsidR="00CD1A9E" w:rsidRPr="00E7469B" w:rsidRDefault="00CD1A9E" w:rsidP="00E7469B">
            <w:pPr>
              <w:keepNext/>
              <w:keepLines/>
              <w:widowControl/>
              <w:autoSpaceDE/>
              <w:autoSpaceDN/>
              <w:adjustRightInd/>
              <w:rPr>
                <w:sz w:val="20"/>
                <w:szCs w:val="20"/>
              </w:rPr>
            </w:pPr>
            <w:r w:rsidRPr="00E7469B">
              <w:rPr>
                <w:sz w:val="20"/>
                <w:szCs w:val="20"/>
              </w:rPr>
              <w:t>Verde</w:t>
            </w:r>
          </w:p>
        </w:tc>
        <w:tc>
          <w:tcPr>
            <w:tcW w:w="1206" w:type="dxa"/>
            <w:tcBorders>
              <w:top w:val="nil"/>
              <w:left w:val="nil"/>
              <w:bottom w:val="single" w:sz="4" w:space="0" w:color="auto"/>
              <w:right w:val="single" w:sz="4" w:space="0" w:color="auto"/>
            </w:tcBorders>
            <w:shd w:val="clear" w:color="auto" w:fill="auto"/>
            <w:noWrap/>
            <w:vAlign w:val="bottom"/>
            <w:hideMark/>
          </w:tcPr>
          <w:p w14:paraId="0B734586"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19</w:t>
            </w:r>
          </w:p>
        </w:tc>
        <w:tc>
          <w:tcPr>
            <w:tcW w:w="1160" w:type="dxa"/>
            <w:tcBorders>
              <w:top w:val="nil"/>
              <w:left w:val="nil"/>
              <w:bottom w:val="single" w:sz="4" w:space="0" w:color="auto"/>
              <w:right w:val="single" w:sz="4" w:space="0" w:color="auto"/>
            </w:tcBorders>
            <w:shd w:val="clear" w:color="auto" w:fill="auto"/>
            <w:noWrap/>
            <w:vAlign w:val="bottom"/>
            <w:hideMark/>
          </w:tcPr>
          <w:p w14:paraId="603EE3A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32,706 </w:t>
            </w:r>
          </w:p>
        </w:tc>
        <w:tc>
          <w:tcPr>
            <w:tcW w:w="1206" w:type="dxa"/>
            <w:tcBorders>
              <w:top w:val="nil"/>
              <w:left w:val="nil"/>
              <w:bottom w:val="single" w:sz="4" w:space="0" w:color="auto"/>
              <w:right w:val="single" w:sz="4" w:space="0" w:color="auto"/>
            </w:tcBorders>
            <w:shd w:val="clear" w:color="auto" w:fill="auto"/>
            <w:noWrap/>
            <w:vAlign w:val="bottom"/>
            <w:hideMark/>
          </w:tcPr>
          <w:p w14:paraId="67B01318"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14:paraId="68D97DF9" w14:textId="77777777" w:rsidR="00CD1A9E" w:rsidRPr="00E7469B" w:rsidRDefault="00CD1A9E" w:rsidP="00E7469B">
            <w:pPr>
              <w:keepNext/>
              <w:keepLines/>
              <w:widowControl/>
              <w:autoSpaceDE/>
              <w:autoSpaceDN/>
              <w:adjustRightInd/>
              <w:jc w:val="right"/>
              <w:rPr>
                <w:sz w:val="20"/>
                <w:szCs w:val="20"/>
              </w:rPr>
            </w:pPr>
            <w:r w:rsidRPr="00E7469B">
              <w:rPr>
                <w:sz w:val="20"/>
                <w:szCs w:val="20"/>
              </w:rPr>
              <w:t>5%</w:t>
            </w:r>
          </w:p>
        </w:tc>
      </w:tr>
      <w:tr w:rsidR="00CD1A9E" w:rsidRPr="00E7469B" w14:paraId="17D79AEB"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000000" w:fill="D9D9D9"/>
            <w:noWrap/>
            <w:vAlign w:val="bottom"/>
            <w:hideMark/>
          </w:tcPr>
          <w:p w14:paraId="15F87804" w14:textId="77777777" w:rsidR="00CD1A9E" w:rsidRPr="00E7469B" w:rsidRDefault="00CD1A9E" w:rsidP="00E7469B">
            <w:pPr>
              <w:keepNext/>
              <w:keepLines/>
              <w:widowControl/>
              <w:autoSpaceDE/>
              <w:autoSpaceDN/>
              <w:adjustRightInd/>
              <w:rPr>
                <w:sz w:val="20"/>
                <w:szCs w:val="20"/>
              </w:rPr>
            </w:pPr>
            <w:r w:rsidRPr="00E7469B">
              <w:rPr>
                <w:sz w:val="20"/>
                <w:szCs w:val="20"/>
              </w:rPr>
              <w:t>Direct Energy</w:t>
            </w:r>
          </w:p>
        </w:tc>
        <w:tc>
          <w:tcPr>
            <w:tcW w:w="1206" w:type="dxa"/>
            <w:tcBorders>
              <w:top w:val="nil"/>
              <w:left w:val="nil"/>
              <w:bottom w:val="single" w:sz="4" w:space="0" w:color="auto"/>
              <w:right w:val="single" w:sz="4" w:space="0" w:color="auto"/>
            </w:tcBorders>
            <w:shd w:val="clear" w:color="000000" w:fill="D9D9D9"/>
            <w:noWrap/>
            <w:vAlign w:val="bottom"/>
            <w:hideMark/>
          </w:tcPr>
          <w:p w14:paraId="7820F602" w14:textId="77777777" w:rsidR="00CD1A9E" w:rsidRPr="00E7469B" w:rsidRDefault="00CD1A9E" w:rsidP="00E7469B">
            <w:pPr>
              <w:keepNext/>
              <w:keepLines/>
              <w:widowControl/>
              <w:autoSpaceDE/>
              <w:autoSpaceDN/>
              <w:adjustRightInd/>
              <w:jc w:val="right"/>
              <w:rPr>
                <w:sz w:val="20"/>
                <w:szCs w:val="20"/>
              </w:rPr>
            </w:pPr>
            <w:r w:rsidRPr="00E7469B">
              <w:rPr>
                <w:sz w:val="20"/>
                <w:szCs w:val="20"/>
              </w:rPr>
              <w:t>77</w:t>
            </w:r>
          </w:p>
        </w:tc>
        <w:tc>
          <w:tcPr>
            <w:tcW w:w="1160" w:type="dxa"/>
            <w:tcBorders>
              <w:top w:val="nil"/>
              <w:left w:val="nil"/>
              <w:bottom w:val="single" w:sz="4" w:space="0" w:color="auto"/>
              <w:right w:val="single" w:sz="4" w:space="0" w:color="auto"/>
            </w:tcBorders>
            <w:shd w:val="clear" w:color="000000" w:fill="D9D9D9"/>
            <w:noWrap/>
            <w:vAlign w:val="bottom"/>
            <w:hideMark/>
          </w:tcPr>
          <w:p w14:paraId="238AB2A6"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76,967 </w:t>
            </w:r>
          </w:p>
        </w:tc>
        <w:tc>
          <w:tcPr>
            <w:tcW w:w="1206" w:type="dxa"/>
            <w:tcBorders>
              <w:top w:val="nil"/>
              <w:left w:val="nil"/>
              <w:bottom w:val="single" w:sz="4" w:space="0" w:color="auto"/>
              <w:right w:val="single" w:sz="4" w:space="0" w:color="auto"/>
            </w:tcBorders>
            <w:shd w:val="clear" w:color="000000" w:fill="D9D9D9"/>
            <w:noWrap/>
            <w:vAlign w:val="bottom"/>
            <w:hideMark/>
          </w:tcPr>
          <w:p w14:paraId="1AF450F7" w14:textId="77777777" w:rsidR="00CD1A9E" w:rsidRPr="00E7469B" w:rsidRDefault="00CD1A9E" w:rsidP="00E7469B">
            <w:pPr>
              <w:keepNext/>
              <w:keepLines/>
              <w:widowControl/>
              <w:autoSpaceDE/>
              <w:autoSpaceDN/>
              <w:adjustRightInd/>
              <w:jc w:val="right"/>
              <w:rPr>
                <w:sz w:val="20"/>
                <w:szCs w:val="20"/>
              </w:rPr>
            </w:pPr>
            <w:r w:rsidRPr="00E7469B">
              <w:rPr>
                <w:sz w:val="20"/>
                <w:szCs w:val="20"/>
              </w:rPr>
              <w:t>2</w:t>
            </w:r>
          </w:p>
        </w:tc>
        <w:tc>
          <w:tcPr>
            <w:tcW w:w="1320" w:type="dxa"/>
            <w:tcBorders>
              <w:top w:val="nil"/>
              <w:left w:val="nil"/>
              <w:bottom w:val="single" w:sz="4" w:space="0" w:color="auto"/>
              <w:right w:val="single" w:sz="4" w:space="0" w:color="auto"/>
            </w:tcBorders>
            <w:shd w:val="clear" w:color="000000" w:fill="D9D9D9"/>
            <w:noWrap/>
            <w:vAlign w:val="bottom"/>
            <w:hideMark/>
          </w:tcPr>
          <w:p w14:paraId="29D2D239" w14:textId="77777777" w:rsidR="00CD1A9E" w:rsidRPr="00E7469B" w:rsidRDefault="00CD1A9E" w:rsidP="00E7469B">
            <w:pPr>
              <w:keepNext/>
              <w:keepLines/>
              <w:widowControl/>
              <w:autoSpaceDE/>
              <w:autoSpaceDN/>
              <w:adjustRightInd/>
              <w:jc w:val="right"/>
              <w:rPr>
                <w:sz w:val="20"/>
                <w:szCs w:val="20"/>
              </w:rPr>
            </w:pPr>
            <w:r w:rsidRPr="00E7469B">
              <w:rPr>
                <w:sz w:val="20"/>
                <w:szCs w:val="20"/>
              </w:rPr>
              <w:t>3%</w:t>
            </w:r>
          </w:p>
        </w:tc>
      </w:tr>
      <w:tr w:rsidR="00CD1A9E" w:rsidRPr="00E7469B" w14:paraId="05342B74"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455EE46A" w14:textId="77777777" w:rsidR="00CD1A9E" w:rsidRPr="00E7469B" w:rsidRDefault="00CD1A9E" w:rsidP="00E7469B">
            <w:pPr>
              <w:keepNext/>
              <w:keepLines/>
              <w:widowControl/>
              <w:autoSpaceDE/>
              <w:autoSpaceDN/>
              <w:adjustRightInd/>
              <w:rPr>
                <w:sz w:val="20"/>
                <w:szCs w:val="20"/>
              </w:rPr>
            </w:pPr>
            <w:r w:rsidRPr="00E7469B">
              <w:rPr>
                <w:sz w:val="20"/>
                <w:szCs w:val="20"/>
              </w:rPr>
              <w:t>North American Power &amp; Gas</w:t>
            </w:r>
          </w:p>
        </w:tc>
        <w:tc>
          <w:tcPr>
            <w:tcW w:w="1206" w:type="dxa"/>
            <w:tcBorders>
              <w:top w:val="nil"/>
              <w:left w:val="nil"/>
              <w:bottom w:val="single" w:sz="4" w:space="0" w:color="auto"/>
              <w:right w:val="single" w:sz="4" w:space="0" w:color="auto"/>
            </w:tcBorders>
            <w:shd w:val="clear" w:color="auto" w:fill="auto"/>
            <w:noWrap/>
            <w:vAlign w:val="bottom"/>
            <w:hideMark/>
          </w:tcPr>
          <w:p w14:paraId="646D9571" w14:textId="77777777" w:rsidR="00CD1A9E" w:rsidRPr="00E7469B" w:rsidRDefault="00CD1A9E" w:rsidP="00E7469B">
            <w:pPr>
              <w:keepNext/>
              <w:keepLines/>
              <w:widowControl/>
              <w:autoSpaceDE/>
              <w:autoSpaceDN/>
              <w:adjustRightInd/>
              <w:jc w:val="right"/>
              <w:rPr>
                <w:sz w:val="20"/>
                <w:szCs w:val="20"/>
              </w:rPr>
            </w:pPr>
            <w:r w:rsidRPr="00E7469B">
              <w:rPr>
                <w:sz w:val="20"/>
                <w:szCs w:val="20"/>
              </w:rPr>
              <w:t>79</w:t>
            </w:r>
          </w:p>
        </w:tc>
        <w:tc>
          <w:tcPr>
            <w:tcW w:w="1160" w:type="dxa"/>
            <w:tcBorders>
              <w:top w:val="nil"/>
              <w:left w:val="nil"/>
              <w:bottom w:val="single" w:sz="4" w:space="0" w:color="auto"/>
              <w:right w:val="single" w:sz="4" w:space="0" w:color="auto"/>
            </w:tcBorders>
            <w:shd w:val="clear" w:color="auto" w:fill="auto"/>
            <w:noWrap/>
            <w:vAlign w:val="bottom"/>
            <w:hideMark/>
          </w:tcPr>
          <w:p w14:paraId="5B0AEF3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56,406 </w:t>
            </w:r>
          </w:p>
        </w:tc>
        <w:tc>
          <w:tcPr>
            <w:tcW w:w="1206" w:type="dxa"/>
            <w:tcBorders>
              <w:top w:val="nil"/>
              <w:left w:val="nil"/>
              <w:bottom w:val="single" w:sz="4" w:space="0" w:color="auto"/>
              <w:right w:val="single" w:sz="4" w:space="0" w:color="auto"/>
            </w:tcBorders>
            <w:shd w:val="clear" w:color="auto" w:fill="auto"/>
            <w:noWrap/>
            <w:vAlign w:val="bottom"/>
            <w:hideMark/>
          </w:tcPr>
          <w:p w14:paraId="4D87B851"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14:paraId="6AB6E320"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w:t>
            </w:r>
          </w:p>
        </w:tc>
      </w:tr>
      <w:tr w:rsidR="00CD1A9E" w:rsidRPr="00E7469B" w14:paraId="4B139EE8" w14:textId="77777777" w:rsidTr="00CD1A9E">
        <w:trPr>
          <w:trHeight w:val="280"/>
          <w:jc w:val="center"/>
        </w:trPr>
        <w:tc>
          <w:tcPr>
            <w:tcW w:w="2800" w:type="dxa"/>
            <w:tcBorders>
              <w:top w:val="nil"/>
              <w:left w:val="single" w:sz="8" w:space="0" w:color="auto"/>
              <w:bottom w:val="single" w:sz="4" w:space="0" w:color="auto"/>
              <w:right w:val="single" w:sz="4" w:space="0" w:color="auto"/>
            </w:tcBorders>
            <w:shd w:val="clear" w:color="000000" w:fill="D9D9D9"/>
            <w:noWrap/>
            <w:vAlign w:val="bottom"/>
            <w:hideMark/>
          </w:tcPr>
          <w:p w14:paraId="3D73B90A" w14:textId="77777777" w:rsidR="00CD1A9E" w:rsidRPr="00E7469B" w:rsidRDefault="00CD1A9E" w:rsidP="00E7469B">
            <w:pPr>
              <w:keepNext/>
              <w:keepLines/>
              <w:widowControl/>
              <w:autoSpaceDE/>
              <w:autoSpaceDN/>
              <w:adjustRightInd/>
              <w:rPr>
                <w:sz w:val="20"/>
                <w:szCs w:val="20"/>
              </w:rPr>
            </w:pPr>
            <w:r w:rsidRPr="00E7469B">
              <w:rPr>
                <w:sz w:val="20"/>
                <w:szCs w:val="20"/>
              </w:rPr>
              <w:t>Subtotal</w:t>
            </w:r>
          </w:p>
        </w:tc>
        <w:tc>
          <w:tcPr>
            <w:tcW w:w="1206" w:type="dxa"/>
            <w:tcBorders>
              <w:top w:val="nil"/>
              <w:left w:val="nil"/>
              <w:bottom w:val="single" w:sz="4" w:space="0" w:color="auto"/>
              <w:right w:val="single" w:sz="4" w:space="0" w:color="auto"/>
            </w:tcBorders>
            <w:shd w:val="clear" w:color="000000" w:fill="D9D9D9"/>
            <w:noWrap/>
            <w:vAlign w:val="bottom"/>
            <w:hideMark/>
          </w:tcPr>
          <w:p w14:paraId="1B8E7B71" w14:textId="77777777" w:rsidR="00CD1A9E" w:rsidRPr="00E7469B" w:rsidRDefault="00CD1A9E" w:rsidP="00E7469B">
            <w:pPr>
              <w:keepNext/>
              <w:keepLines/>
              <w:widowControl/>
              <w:autoSpaceDE/>
              <w:autoSpaceDN/>
              <w:adjustRightInd/>
              <w:jc w:val="right"/>
              <w:rPr>
                <w:sz w:val="20"/>
                <w:szCs w:val="20"/>
              </w:rPr>
            </w:pPr>
            <w:r w:rsidRPr="00E7469B">
              <w:rPr>
                <w:sz w:val="20"/>
                <w:szCs w:val="20"/>
              </w:rPr>
              <w:t>640</w:t>
            </w:r>
          </w:p>
        </w:tc>
        <w:tc>
          <w:tcPr>
            <w:tcW w:w="1160" w:type="dxa"/>
            <w:tcBorders>
              <w:top w:val="nil"/>
              <w:left w:val="nil"/>
              <w:bottom w:val="single" w:sz="4" w:space="0" w:color="auto"/>
              <w:right w:val="single" w:sz="4" w:space="0" w:color="auto"/>
            </w:tcBorders>
            <w:shd w:val="clear" w:color="000000" w:fill="D9D9D9"/>
            <w:noWrap/>
            <w:vAlign w:val="bottom"/>
            <w:hideMark/>
          </w:tcPr>
          <w:p w14:paraId="44226A7A"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328,823 </w:t>
            </w:r>
          </w:p>
        </w:tc>
        <w:tc>
          <w:tcPr>
            <w:tcW w:w="1206" w:type="dxa"/>
            <w:tcBorders>
              <w:top w:val="nil"/>
              <w:left w:val="nil"/>
              <w:bottom w:val="single" w:sz="4" w:space="0" w:color="auto"/>
              <w:right w:val="single" w:sz="4" w:space="0" w:color="auto"/>
            </w:tcBorders>
            <w:shd w:val="clear" w:color="000000" w:fill="D9D9D9"/>
            <w:noWrap/>
            <w:vAlign w:val="bottom"/>
            <w:hideMark/>
          </w:tcPr>
          <w:p w14:paraId="775BAEA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29 </w:t>
            </w:r>
          </w:p>
        </w:tc>
        <w:tc>
          <w:tcPr>
            <w:tcW w:w="1320" w:type="dxa"/>
            <w:tcBorders>
              <w:top w:val="nil"/>
              <w:left w:val="nil"/>
              <w:bottom w:val="single" w:sz="4" w:space="0" w:color="auto"/>
              <w:right w:val="single" w:sz="4" w:space="0" w:color="auto"/>
            </w:tcBorders>
            <w:shd w:val="clear" w:color="000000" w:fill="D9D9D9"/>
            <w:noWrap/>
            <w:vAlign w:val="bottom"/>
            <w:hideMark/>
          </w:tcPr>
          <w:p w14:paraId="1347F877" w14:textId="77777777" w:rsidR="00CD1A9E" w:rsidRPr="00E7469B" w:rsidRDefault="00CD1A9E" w:rsidP="00E7469B">
            <w:pPr>
              <w:keepNext/>
              <w:keepLines/>
              <w:widowControl/>
              <w:autoSpaceDE/>
              <w:autoSpaceDN/>
              <w:adjustRightInd/>
              <w:jc w:val="right"/>
              <w:rPr>
                <w:sz w:val="20"/>
                <w:szCs w:val="20"/>
              </w:rPr>
            </w:pPr>
            <w:r w:rsidRPr="00E7469B">
              <w:rPr>
                <w:sz w:val="20"/>
                <w:szCs w:val="20"/>
              </w:rPr>
              <w:t>5%</w:t>
            </w:r>
          </w:p>
        </w:tc>
      </w:tr>
      <w:tr w:rsidR="00CD1A9E" w:rsidRPr="00E7469B" w14:paraId="2367C637" w14:textId="77777777" w:rsidTr="00CD1A9E">
        <w:trPr>
          <w:trHeight w:val="580"/>
          <w:jc w:val="center"/>
        </w:trPr>
        <w:tc>
          <w:tcPr>
            <w:tcW w:w="2800" w:type="dxa"/>
            <w:tcBorders>
              <w:top w:val="nil"/>
              <w:left w:val="single" w:sz="8" w:space="0" w:color="auto"/>
              <w:bottom w:val="single" w:sz="4" w:space="0" w:color="auto"/>
              <w:right w:val="single" w:sz="4" w:space="0" w:color="auto"/>
            </w:tcBorders>
            <w:shd w:val="clear" w:color="auto" w:fill="auto"/>
            <w:vAlign w:val="bottom"/>
            <w:hideMark/>
          </w:tcPr>
          <w:p w14:paraId="4AC41487" w14:textId="77777777" w:rsidR="00CD1A9E" w:rsidRPr="00E7469B" w:rsidRDefault="00CD1A9E" w:rsidP="00E7469B">
            <w:pPr>
              <w:keepNext/>
              <w:keepLines/>
              <w:widowControl/>
              <w:autoSpaceDE/>
              <w:autoSpaceDN/>
              <w:adjustRightInd/>
              <w:rPr>
                <w:sz w:val="20"/>
                <w:szCs w:val="20"/>
              </w:rPr>
            </w:pPr>
            <w:r w:rsidRPr="00E7469B">
              <w:rPr>
                <w:sz w:val="20"/>
                <w:szCs w:val="20"/>
              </w:rPr>
              <w:t>All other</w:t>
            </w:r>
            <w:r w:rsidR="00A93FF2">
              <w:rPr>
                <w:sz w:val="20"/>
                <w:szCs w:val="20"/>
              </w:rPr>
              <w:t xml:space="preserve"> Supplier</w:t>
            </w:r>
            <w:r w:rsidRPr="00E7469B">
              <w:rPr>
                <w:sz w:val="20"/>
                <w:szCs w:val="20"/>
              </w:rPr>
              <w:t>s about which complaints were made</w:t>
            </w:r>
          </w:p>
        </w:tc>
        <w:tc>
          <w:tcPr>
            <w:tcW w:w="1206" w:type="dxa"/>
            <w:tcBorders>
              <w:top w:val="nil"/>
              <w:left w:val="nil"/>
              <w:bottom w:val="single" w:sz="4" w:space="0" w:color="auto"/>
              <w:right w:val="single" w:sz="4" w:space="0" w:color="auto"/>
            </w:tcBorders>
            <w:shd w:val="clear" w:color="auto" w:fill="auto"/>
            <w:noWrap/>
            <w:vAlign w:val="bottom"/>
            <w:hideMark/>
          </w:tcPr>
          <w:p w14:paraId="5F546E9C" w14:textId="77777777" w:rsidR="00CD1A9E" w:rsidRPr="00E7469B" w:rsidRDefault="00CD1A9E" w:rsidP="00E7469B">
            <w:pPr>
              <w:keepNext/>
              <w:keepLines/>
              <w:widowControl/>
              <w:autoSpaceDE/>
              <w:autoSpaceDN/>
              <w:adjustRightInd/>
              <w:jc w:val="right"/>
              <w:rPr>
                <w:sz w:val="20"/>
                <w:szCs w:val="20"/>
              </w:rPr>
            </w:pPr>
            <w:r w:rsidRPr="00E7469B">
              <w:rPr>
                <w:sz w:val="20"/>
                <w:szCs w:val="20"/>
              </w:rPr>
              <w:t>178</w:t>
            </w:r>
          </w:p>
        </w:tc>
        <w:tc>
          <w:tcPr>
            <w:tcW w:w="1160" w:type="dxa"/>
            <w:tcBorders>
              <w:top w:val="nil"/>
              <w:left w:val="nil"/>
              <w:bottom w:val="single" w:sz="4" w:space="0" w:color="auto"/>
              <w:right w:val="single" w:sz="4" w:space="0" w:color="auto"/>
            </w:tcBorders>
            <w:shd w:val="clear" w:color="auto" w:fill="auto"/>
            <w:noWrap/>
            <w:vAlign w:val="bottom"/>
            <w:hideMark/>
          </w:tcPr>
          <w:p w14:paraId="4524424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230,802 </w:t>
            </w:r>
          </w:p>
        </w:tc>
        <w:tc>
          <w:tcPr>
            <w:tcW w:w="1206" w:type="dxa"/>
            <w:tcBorders>
              <w:top w:val="nil"/>
              <w:left w:val="nil"/>
              <w:bottom w:val="single" w:sz="4" w:space="0" w:color="auto"/>
              <w:right w:val="single" w:sz="4" w:space="0" w:color="auto"/>
            </w:tcBorders>
            <w:shd w:val="clear" w:color="auto" w:fill="auto"/>
            <w:noWrap/>
            <w:vAlign w:val="bottom"/>
            <w:hideMark/>
          </w:tcPr>
          <w:p w14:paraId="1B0F249D" w14:textId="77777777" w:rsidR="00CD1A9E" w:rsidRPr="00E7469B" w:rsidRDefault="00CD1A9E" w:rsidP="00E7469B">
            <w:pPr>
              <w:keepNext/>
              <w:keepLines/>
              <w:widowControl/>
              <w:autoSpaceDE/>
              <w:autoSpaceDN/>
              <w:adjustRightInd/>
              <w:jc w:val="right"/>
              <w:rPr>
                <w:sz w:val="20"/>
                <w:szCs w:val="20"/>
              </w:rPr>
            </w:pPr>
            <w:r w:rsidRPr="00E7469B">
              <w:rPr>
                <w:sz w:val="20"/>
                <w:szCs w:val="20"/>
              </w:rPr>
              <w:t>0</w:t>
            </w:r>
          </w:p>
        </w:tc>
        <w:tc>
          <w:tcPr>
            <w:tcW w:w="1320" w:type="dxa"/>
            <w:tcBorders>
              <w:top w:val="nil"/>
              <w:left w:val="nil"/>
              <w:bottom w:val="single" w:sz="4" w:space="0" w:color="auto"/>
              <w:right w:val="single" w:sz="4" w:space="0" w:color="auto"/>
            </w:tcBorders>
            <w:shd w:val="clear" w:color="auto" w:fill="auto"/>
            <w:noWrap/>
            <w:vAlign w:val="bottom"/>
            <w:hideMark/>
          </w:tcPr>
          <w:p w14:paraId="2EFC62D1" w14:textId="77777777" w:rsidR="00CD1A9E" w:rsidRPr="00E7469B" w:rsidRDefault="00CD1A9E" w:rsidP="00E7469B">
            <w:pPr>
              <w:keepNext/>
              <w:keepLines/>
              <w:widowControl/>
              <w:autoSpaceDE/>
              <w:autoSpaceDN/>
              <w:adjustRightInd/>
              <w:jc w:val="right"/>
              <w:rPr>
                <w:sz w:val="20"/>
                <w:szCs w:val="20"/>
              </w:rPr>
            </w:pPr>
            <w:r w:rsidRPr="00E7469B">
              <w:rPr>
                <w:sz w:val="20"/>
                <w:szCs w:val="20"/>
              </w:rPr>
              <w:t>0</w:t>
            </w:r>
          </w:p>
        </w:tc>
      </w:tr>
      <w:tr w:rsidR="00CD1A9E" w:rsidRPr="00E7469B" w14:paraId="42F51950" w14:textId="77777777" w:rsidTr="00CD1A9E">
        <w:trPr>
          <w:trHeight w:val="380"/>
          <w:jc w:val="center"/>
        </w:trPr>
        <w:tc>
          <w:tcPr>
            <w:tcW w:w="2800" w:type="dxa"/>
            <w:tcBorders>
              <w:top w:val="nil"/>
              <w:left w:val="single" w:sz="8" w:space="0" w:color="auto"/>
              <w:bottom w:val="single" w:sz="8" w:space="0" w:color="auto"/>
              <w:right w:val="single" w:sz="4" w:space="0" w:color="auto"/>
            </w:tcBorders>
            <w:shd w:val="clear" w:color="000000" w:fill="D9D9D9"/>
            <w:noWrap/>
            <w:vAlign w:val="bottom"/>
            <w:hideMark/>
          </w:tcPr>
          <w:p w14:paraId="5F2C0119" w14:textId="77777777" w:rsidR="00CD1A9E" w:rsidRPr="00E7469B" w:rsidRDefault="00CD1A9E" w:rsidP="00E7469B">
            <w:pPr>
              <w:keepNext/>
              <w:keepLines/>
              <w:widowControl/>
              <w:autoSpaceDE/>
              <w:autoSpaceDN/>
              <w:adjustRightInd/>
              <w:rPr>
                <w:b/>
                <w:bCs/>
                <w:sz w:val="20"/>
                <w:szCs w:val="20"/>
              </w:rPr>
            </w:pPr>
            <w:r w:rsidRPr="00E7469B">
              <w:rPr>
                <w:b/>
                <w:bCs/>
                <w:sz w:val="20"/>
                <w:szCs w:val="20"/>
              </w:rPr>
              <w:t>TOTALS</w:t>
            </w:r>
          </w:p>
        </w:tc>
        <w:tc>
          <w:tcPr>
            <w:tcW w:w="1206" w:type="dxa"/>
            <w:tcBorders>
              <w:top w:val="nil"/>
              <w:left w:val="nil"/>
              <w:bottom w:val="single" w:sz="8" w:space="0" w:color="auto"/>
              <w:right w:val="single" w:sz="4" w:space="0" w:color="auto"/>
            </w:tcBorders>
            <w:shd w:val="clear" w:color="000000" w:fill="D9D9D9"/>
            <w:noWrap/>
            <w:vAlign w:val="bottom"/>
            <w:hideMark/>
          </w:tcPr>
          <w:p w14:paraId="3633031C" w14:textId="77777777" w:rsidR="00CD1A9E" w:rsidRPr="00E7469B" w:rsidRDefault="00CD1A9E" w:rsidP="00E7469B">
            <w:pPr>
              <w:keepNext/>
              <w:keepLines/>
              <w:widowControl/>
              <w:autoSpaceDE/>
              <w:autoSpaceDN/>
              <w:adjustRightInd/>
              <w:jc w:val="right"/>
              <w:rPr>
                <w:sz w:val="20"/>
                <w:szCs w:val="20"/>
              </w:rPr>
            </w:pPr>
            <w:r w:rsidRPr="00E7469B">
              <w:rPr>
                <w:sz w:val="20"/>
                <w:szCs w:val="20"/>
              </w:rPr>
              <w:t>818</w:t>
            </w:r>
          </w:p>
        </w:tc>
        <w:tc>
          <w:tcPr>
            <w:tcW w:w="1160" w:type="dxa"/>
            <w:tcBorders>
              <w:top w:val="nil"/>
              <w:left w:val="nil"/>
              <w:bottom w:val="single" w:sz="8" w:space="0" w:color="auto"/>
              <w:right w:val="single" w:sz="4" w:space="0" w:color="auto"/>
            </w:tcBorders>
            <w:shd w:val="clear" w:color="000000" w:fill="D9D9D9"/>
            <w:noWrap/>
            <w:vAlign w:val="bottom"/>
            <w:hideMark/>
          </w:tcPr>
          <w:p w14:paraId="5E0B19A5" w14:textId="77777777" w:rsidR="00CD1A9E" w:rsidRPr="00E7469B" w:rsidRDefault="00CD1A9E" w:rsidP="00E7469B">
            <w:pPr>
              <w:keepNext/>
              <w:keepLines/>
              <w:widowControl/>
              <w:autoSpaceDE/>
              <w:autoSpaceDN/>
              <w:adjustRightInd/>
              <w:jc w:val="right"/>
              <w:rPr>
                <w:sz w:val="20"/>
                <w:szCs w:val="20"/>
              </w:rPr>
            </w:pPr>
            <w:r w:rsidRPr="00E7469B">
              <w:rPr>
                <w:sz w:val="20"/>
                <w:szCs w:val="20"/>
              </w:rPr>
              <w:t xml:space="preserve"> 559,625 </w:t>
            </w:r>
          </w:p>
        </w:tc>
        <w:tc>
          <w:tcPr>
            <w:tcW w:w="1206" w:type="dxa"/>
            <w:tcBorders>
              <w:top w:val="nil"/>
              <w:left w:val="nil"/>
              <w:bottom w:val="single" w:sz="8" w:space="0" w:color="auto"/>
              <w:right w:val="single" w:sz="4" w:space="0" w:color="auto"/>
            </w:tcBorders>
            <w:shd w:val="clear" w:color="000000" w:fill="D9D9D9"/>
            <w:noWrap/>
            <w:vAlign w:val="bottom"/>
            <w:hideMark/>
          </w:tcPr>
          <w:p w14:paraId="6AE3ABED" w14:textId="77777777" w:rsidR="00CD1A9E" w:rsidRPr="00E7469B" w:rsidRDefault="00CD1A9E" w:rsidP="00E7469B">
            <w:pPr>
              <w:keepNext/>
              <w:keepLines/>
              <w:widowControl/>
              <w:autoSpaceDE/>
              <w:autoSpaceDN/>
              <w:adjustRightInd/>
              <w:jc w:val="right"/>
              <w:rPr>
                <w:sz w:val="20"/>
                <w:szCs w:val="20"/>
              </w:rPr>
            </w:pPr>
            <w:r w:rsidRPr="00E7469B">
              <w:rPr>
                <w:sz w:val="20"/>
                <w:szCs w:val="20"/>
              </w:rPr>
              <w:t>29</w:t>
            </w:r>
          </w:p>
        </w:tc>
        <w:tc>
          <w:tcPr>
            <w:tcW w:w="1320" w:type="dxa"/>
            <w:tcBorders>
              <w:top w:val="nil"/>
              <w:left w:val="nil"/>
              <w:bottom w:val="single" w:sz="8" w:space="0" w:color="auto"/>
              <w:right w:val="single" w:sz="4" w:space="0" w:color="auto"/>
            </w:tcBorders>
            <w:shd w:val="clear" w:color="000000" w:fill="D9D9D9"/>
            <w:noWrap/>
            <w:vAlign w:val="bottom"/>
            <w:hideMark/>
          </w:tcPr>
          <w:p w14:paraId="3B478CE6" w14:textId="77777777" w:rsidR="00CD1A9E" w:rsidRPr="00E7469B" w:rsidRDefault="00CD1A9E" w:rsidP="00E7469B">
            <w:pPr>
              <w:keepNext/>
              <w:keepLines/>
              <w:widowControl/>
              <w:autoSpaceDE/>
              <w:autoSpaceDN/>
              <w:adjustRightInd/>
              <w:jc w:val="right"/>
              <w:rPr>
                <w:sz w:val="20"/>
                <w:szCs w:val="20"/>
              </w:rPr>
            </w:pPr>
            <w:r w:rsidRPr="00E7469B">
              <w:rPr>
                <w:sz w:val="20"/>
                <w:szCs w:val="20"/>
              </w:rPr>
              <w:t>4%</w:t>
            </w:r>
          </w:p>
        </w:tc>
      </w:tr>
    </w:tbl>
    <w:p w14:paraId="4FD8F006" w14:textId="77777777" w:rsidR="003B6456" w:rsidRPr="00810AC2" w:rsidRDefault="003B6456" w:rsidP="00157C92">
      <w:pPr>
        <w:spacing w:line="480" w:lineRule="auto"/>
        <w:ind w:left="720" w:hanging="720"/>
        <w:rPr>
          <w:b/>
        </w:rPr>
      </w:pPr>
    </w:p>
    <w:p w14:paraId="507CE77A" w14:textId="77777777" w:rsidR="008C38E4" w:rsidRDefault="008C38E4" w:rsidP="008C38E4">
      <w:pPr>
        <w:spacing w:line="480" w:lineRule="auto"/>
        <w:ind w:left="720" w:hanging="720"/>
        <w:rPr>
          <w:b/>
        </w:rPr>
      </w:pPr>
      <w:r>
        <w:rPr>
          <w:b/>
        </w:rPr>
        <w:t>Q:</w:t>
      </w:r>
      <w:r>
        <w:rPr>
          <w:b/>
        </w:rPr>
        <w:tab/>
        <w:t xml:space="preserve">Why do you emphasize </w:t>
      </w:r>
      <w:r w:rsidR="00810AC2">
        <w:rPr>
          <w:b/>
        </w:rPr>
        <w:t xml:space="preserve">that </w:t>
      </w:r>
      <w:r>
        <w:rPr>
          <w:b/>
        </w:rPr>
        <w:t>“at least”</w:t>
      </w:r>
      <w:r w:rsidR="00810AC2">
        <w:rPr>
          <w:b/>
        </w:rPr>
        <w:t xml:space="preserve"> 29 complaints originated</w:t>
      </w:r>
      <w:r w:rsidR="00262EDF">
        <w:rPr>
          <w:b/>
        </w:rPr>
        <w:t xml:space="preserve"> from</w:t>
      </w:r>
      <w:r w:rsidR="00810AC2">
        <w:rPr>
          <w:b/>
        </w:rPr>
        <w:t xml:space="preserve"> </w:t>
      </w:r>
      <w:r w:rsidR="000F57E1">
        <w:rPr>
          <w:b/>
        </w:rPr>
        <w:t>ESL</w:t>
      </w:r>
      <w:r w:rsidR="00810AC2">
        <w:rPr>
          <w:b/>
        </w:rPr>
        <w:t xml:space="preserve"> </w:t>
      </w:r>
      <w:r w:rsidR="00262EDF">
        <w:rPr>
          <w:b/>
        </w:rPr>
        <w:t>customers</w:t>
      </w:r>
      <w:r>
        <w:rPr>
          <w:b/>
        </w:rPr>
        <w:t>?</w:t>
      </w:r>
    </w:p>
    <w:p w14:paraId="62C9103B" w14:textId="77777777" w:rsidR="008C38E4" w:rsidRDefault="008C38E4" w:rsidP="008C38E4">
      <w:pPr>
        <w:spacing w:line="480" w:lineRule="auto"/>
        <w:ind w:left="720" w:hanging="720"/>
      </w:pPr>
      <w:r>
        <w:t>A:</w:t>
      </w:r>
      <w:r>
        <w:tab/>
        <w:t>I classified complaints as “ESL” only if there was an unambiguous reference in the comment to these attributes.  But the fact that any given complaint does not specifically refer to the</w:t>
      </w:r>
      <w:r w:rsidR="004C2130">
        <w:t xml:space="preserve"> presence of an ESL resident </w:t>
      </w:r>
      <w:r>
        <w:t>does not mean that the customer was not ESL.</w:t>
      </w:r>
    </w:p>
    <w:p w14:paraId="56808A43" w14:textId="77777777" w:rsidR="00275860" w:rsidRDefault="00275860" w:rsidP="008C38E4">
      <w:pPr>
        <w:spacing w:line="480" w:lineRule="auto"/>
        <w:ind w:left="720" w:hanging="720"/>
        <w:rPr>
          <w:b/>
        </w:rPr>
      </w:pPr>
      <w:r>
        <w:rPr>
          <w:b/>
        </w:rPr>
        <w:t>Q:</w:t>
      </w:r>
      <w:r>
        <w:rPr>
          <w:b/>
        </w:rPr>
        <w:tab/>
        <w:t>In your review of PURA complaints, did you identify any complaints relating to</w:t>
      </w:r>
      <w:r w:rsidR="00A93FF2">
        <w:rPr>
          <w:b/>
        </w:rPr>
        <w:t xml:space="preserve"> Supplier</w:t>
      </w:r>
      <w:r>
        <w:rPr>
          <w:b/>
        </w:rPr>
        <w:t>s’ marketing practices in public housing?</w:t>
      </w:r>
    </w:p>
    <w:p w14:paraId="1C451C96" w14:textId="77777777" w:rsidR="00275860" w:rsidRPr="003B79B1" w:rsidRDefault="00275860" w:rsidP="00275860">
      <w:pPr>
        <w:spacing w:line="480" w:lineRule="auto"/>
        <w:ind w:left="720" w:hanging="720"/>
      </w:pPr>
      <w:r>
        <w:t>A:</w:t>
      </w:r>
      <w:r>
        <w:tab/>
        <w:t xml:space="preserve">Yes.  </w:t>
      </w:r>
      <w:r w:rsidR="00271268" w:rsidRPr="00275860">
        <w:t xml:space="preserve">Exhibit </w:t>
      </w:r>
      <w:r w:rsidR="00B87C53" w:rsidRPr="00275860">
        <w:t>4</w:t>
      </w:r>
      <w:r w:rsidR="00271268" w:rsidRPr="00275860">
        <w:t xml:space="preserve"> </w:t>
      </w:r>
      <w:r>
        <w:t>reproduces the PURA Intake F</w:t>
      </w:r>
      <w:r w:rsidR="00271268" w:rsidRPr="00275860">
        <w:t xml:space="preserve">orm for </w:t>
      </w:r>
      <w:r>
        <w:t xml:space="preserve">a </w:t>
      </w:r>
      <w:r w:rsidR="00271268" w:rsidRPr="00275860">
        <w:t>complaint</w:t>
      </w:r>
      <w:r>
        <w:t xml:space="preserve"> from the Director of the East Hampton Housing Authority</w:t>
      </w:r>
      <w:r w:rsidR="00271268" w:rsidRPr="00275860">
        <w:t>.</w:t>
      </w:r>
      <w:r>
        <w:t xml:space="preserve">  As described on the Intake Form</w:t>
      </w:r>
      <w:r w:rsidR="00893D8F">
        <w:t>,</w:t>
      </w:r>
      <w:r w:rsidR="003B79B1">
        <w:t xml:space="preserve"> </w:t>
      </w:r>
      <w:r w:rsidR="003B79B1" w:rsidRPr="003B79B1">
        <w:t>in pertinent part</w:t>
      </w:r>
      <w:r w:rsidRPr="003B79B1">
        <w:t>:</w:t>
      </w:r>
    </w:p>
    <w:p w14:paraId="22665DB7" w14:textId="77777777" w:rsidR="00571131" w:rsidRDefault="00275860" w:rsidP="00571131">
      <w:pPr>
        <w:ind w:left="1440" w:right="720"/>
      </w:pPr>
      <w:r w:rsidRPr="003B79B1">
        <w:t>Several of her tenants have received phone calls from an alternative energy</w:t>
      </w:r>
      <w:r w:rsidR="00A93FF2">
        <w:t xml:space="preserve"> Supplier</w:t>
      </w:r>
      <w:r w:rsidRPr="003B79B1">
        <w:t xml:space="preserve"> (named Clearview Energy) who uses language that leads the tenants to believe they are speaking with the CT energy assistance program.  The tenants supply the information and are signed up for Clearview without their knowledge.  They lose their energy assistance, and when the</w:t>
      </w:r>
      <w:r w:rsidR="0091571E">
        <w:t>y</w:t>
      </w:r>
      <w:r w:rsidRPr="003B79B1">
        <w:t xml:space="preserve"> dis-enroll from Clearview to get back </w:t>
      </w:r>
      <w:r w:rsidR="003B79B1" w:rsidRPr="003B79B1">
        <w:t>with CL&amp;P they are charged a fee of “$12.50 per remaining months of the contract period.”  In the case of one tenant I spoke to this fee came to $125.00.</w:t>
      </w:r>
    </w:p>
    <w:p w14:paraId="4C260A4D" w14:textId="77777777" w:rsidR="003B79B1" w:rsidRDefault="003B79B1" w:rsidP="00571131">
      <w:pPr>
        <w:ind w:left="1440" w:right="720"/>
        <w:rPr>
          <w:b/>
        </w:rPr>
      </w:pPr>
      <w:r>
        <w:rPr>
          <w:b/>
        </w:rPr>
        <w:tab/>
      </w:r>
    </w:p>
    <w:p w14:paraId="6A65F720" w14:textId="77777777" w:rsidR="003B79B1" w:rsidRDefault="003B79B1" w:rsidP="00157C92">
      <w:pPr>
        <w:spacing w:line="480" w:lineRule="auto"/>
        <w:ind w:left="720" w:hanging="720"/>
      </w:pPr>
      <w:r>
        <w:rPr>
          <w:b/>
        </w:rPr>
        <w:t>Q:</w:t>
      </w:r>
      <w:r>
        <w:rPr>
          <w:b/>
        </w:rPr>
        <w:tab/>
        <w:t>In your view, what does this particular complaint illustrate about the present</w:t>
      </w:r>
      <w:r w:rsidR="00A93FF2">
        <w:rPr>
          <w:b/>
        </w:rPr>
        <w:t xml:space="preserve"> Supplier</w:t>
      </w:r>
      <w:r>
        <w:rPr>
          <w:b/>
        </w:rPr>
        <w:t xml:space="preserve"> market?</w:t>
      </w:r>
    </w:p>
    <w:p w14:paraId="64C66795" w14:textId="77777777" w:rsidR="003B79B1" w:rsidRDefault="003B79B1" w:rsidP="00157C92">
      <w:pPr>
        <w:spacing w:line="480" w:lineRule="auto"/>
        <w:ind w:left="720" w:hanging="720"/>
      </w:pPr>
      <w:r>
        <w:t>A:</w:t>
      </w:r>
      <w:r>
        <w:tab/>
        <w:t xml:space="preserve">This complaint illustrates several flaws.  First, those consumers who can least afford to be overcharged have been subjected to deceptive marketing practices.  Not only </w:t>
      </w:r>
      <w:r w:rsidR="003128A6">
        <w:t xml:space="preserve">did </w:t>
      </w:r>
      <w:r>
        <w:t xml:space="preserve">they </w:t>
      </w:r>
      <w:r w:rsidR="003128A6">
        <w:t xml:space="preserve">reportedly </w:t>
      </w:r>
      <w:r>
        <w:t xml:space="preserve">lose their energy assistance, but </w:t>
      </w:r>
      <w:r w:rsidR="00BD2EB0">
        <w:t xml:space="preserve">they </w:t>
      </w:r>
      <w:r>
        <w:t xml:space="preserve">are also being told that they must pay termination charges to discontinue Clearview’s service.  Furthermore, it is </w:t>
      </w:r>
      <w:r w:rsidR="00AD6779">
        <w:t xml:space="preserve">our </w:t>
      </w:r>
      <w:r>
        <w:t>understanding that even if the</w:t>
      </w:r>
      <w:r w:rsidR="0091571E">
        <w:t xml:space="preserve"> termination charge were permissible</w:t>
      </w:r>
      <w:r>
        <w:t xml:space="preserve"> (which does not appear to be the case), the $125.00 fee exceeds the </w:t>
      </w:r>
      <w:r w:rsidR="0091571E">
        <w:t xml:space="preserve">maximum </w:t>
      </w:r>
      <w:r>
        <w:t xml:space="preserve">level </w:t>
      </w:r>
      <w:r w:rsidR="0091571E">
        <w:t>allowed</w:t>
      </w:r>
      <w:r>
        <w:t>.</w:t>
      </w:r>
      <w:r w:rsidR="0091571E">
        <w:rPr>
          <w:rStyle w:val="FootnoteReference"/>
        </w:rPr>
        <w:footnoteReference w:id="25"/>
      </w:r>
    </w:p>
    <w:p w14:paraId="2A809A9E" w14:textId="77777777" w:rsidR="00F53BF4" w:rsidRDefault="00F53BF4" w:rsidP="00157C92">
      <w:pPr>
        <w:spacing w:line="480" w:lineRule="auto"/>
        <w:ind w:left="720" w:hanging="720"/>
      </w:pPr>
      <w:r>
        <w:rPr>
          <w:b/>
        </w:rPr>
        <w:t>Q:</w:t>
      </w:r>
      <w:r>
        <w:rPr>
          <w:b/>
        </w:rPr>
        <w:tab/>
        <w:t>Did you seek data from CL&amp;P, UI, and the</w:t>
      </w:r>
      <w:r w:rsidR="00A93FF2">
        <w:rPr>
          <w:b/>
        </w:rPr>
        <w:t xml:space="preserve"> Supplier</w:t>
      </w:r>
      <w:r>
        <w:rPr>
          <w:b/>
        </w:rPr>
        <w:t>s about the demographics of their customers?</w:t>
      </w:r>
    </w:p>
    <w:p w14:paraId="22B870EC" w14:textId="77777777" w:rsidR="003128A6" w:rsidRDefault="00F53BF4" w:rsidP="00B9454F">
      <w:pPr>
        <w:spacing w:line="480" w:lineRule="auto"/>
        <w:ind w:left="720" w:hanging="720"/>
      </w:pPr>
      <w:r>
        <w:t>A:</w:t>
      </w:r>
      <w:r>
        <w:tab/>
        <w:t xml:space="preserve">Yes. </w:t>
      </w:r>
      <w:r w:rsidR="004319B1">
        <w:t xml:space="preserve"> W</w:t>
      </w:r>
      <w:r w:rsidR="008B6DBC">
        <w:t xml:space="preserve">e </w:t>
      </w:r>
      <w:r>
        <w:t>describe and analyze this in</w:t>
      </w:r>
      <w:r w:rsidR="000C7714">
        <w:t xml:space="preserve">formation </w:t>
      </w:r>
      <w:r w:rsidR="003128A6">
        <w:t xml:space="preserve">that was provided </w:t>
      </w:r>
      <w:r w:rsidR="000C7714">
        <w:t xml:space="preserve">in Section IV below. </w:t>
      </w:r>
      <w:r w:rsidR="003128A6">
        <w:t>However, it is important to note that the EDCs do not track customers by all demographics, and it is therefore not possible to determine if widespread targeting of certain demographics is occurring using the information provided by the EDCs.</w:t>
      </w:r>
    </w:p>
    <w:p w14:paraId="18D0D931" w14:textId="77777777" w:rsidR="00DE5814" w:rsidRPr="007F11F6" w:rsidRDefault="0016795E" w:rsidP="003128A6">
      <w:pPr>
        <w:spacing w:line="480" w:lineRule="auto"/>
        <w:ind w:left="720" w:hanging="720"/>
        <w:rPr>
          <w:b/>
        </w:rPr>
      </w:pPr>
      <w:r w:rsidRPr="007F11F6">
        <w:rPr>
          <w:b/>
        </w:rPr>
        <w:t>Q:</w:t>
      </w:r>
      <w:r w:rsidRPr="007F11F6">
        <w:rPr>
          <w:b/>
        </w:rPr>
        <w:tab/>
        <w:t xml:space="preserve">Please summarize </w:t>
      </w:r>
      <w:r w:rsidR="007F11F6">
        <w:rPr>
          <w:b/>
        </w:rPr>
        <w:t xml:space="preserve">your </w:t>
      </w:r>
      <w:r w:rsidR="00481F27" w:rsidRPr="007F11F6">
        <w:rPr>
          <w:b/>
        </w:rPr>
        <w:t xml:space="preserve">analysis </w:t>
      </w:r>
      <w:r w:rsidR="007F11F6">
        <w:rPr>
          <w:b/>
        </w:rPr>
        <w:t xml:space="preserve">of complaints relative to </w:t>
      </w:r>
      <w:r w:rsidR="00481F27" w:rsidRPr="007F11F6">
        <w:rPr>
          <w:b/>
        </w:rPr>
        <w:t>municipalit</w:t>
      </w:r>
      <w:r w:rsidR="007F11F6">
        <w:rPr>
          <w:b/>
        </w:rPr>
        <w:t>ies</w:t>
      </w:r>
      <w:r w:rsidR="00481F27" w:rsidRPr="007F11F6">
        <w:rPr>
          <w:b/>
        </w:rPr>
        <w:t>.</w:t>
      </w:r>
    </w:p>
    <w:p w14:paraId="1F28DCE8" w14:textId="77777777" w:rsidR="00A360FC" w:rsidRDefault="00481F27" w:rsidP="00D71976">
      <w:pPr>
        <w:spacing w:line="480" w:lineRule="auto"/>
        <w:ind w:left="720" w:hanging="720"/>
      </w:pPr>
      <w:r w:rsidRPr="007F11F6" w:rsidDel="00481F27">
        <w:rPr>
          <w:b/>
        </w:rPr>
        <w:t xml:space="preserve"> </w:t>
      </w:r>
      <w:r w:rsidR="00692AA5" w:rsidRPr="007F11F6">
        <w:t>A:</w:t>
      </w:r>
      <w:r w:rsidR="00692AA5" w:rsidRPr="007F11F6">
        <w:tab/>
      </w:r>
      <w:r w:rsidR="00FA3959" w:rsidRPr="007F11F6">
        <w:t xml:space="preserve">Exhibit </w:t>
      </w:r>
      <w:r w:rsidR="00627691">
        <w:t>1</w:t>
      </w:r>
      <w:r w:rsidR="007F11F6" w:rsidRPr="007F11F6">
        <w:t xml:space="preserve">-A and Exhibit </w:t>
      </w:r>
      <w:r w:rsidR="00627691">
        <w:t>1</w:t>
      </w:r>
      <w:r w:rsidR="007F11F6" w:rsidRPr="007F11F6">
        <w:t>-B</w:t>
      </w:r>
      <w:r w:rsidR="00692AA5" w:rsidRPr="007F11F6">
        <w:t xml:space="preserve"> shows </w:t>
      </w:r>
      <w:r w:rsidR="00057F86">
        <w:t xml:space="preserve">quantities of </w:t>
      </w:r>
      <w:r w:rsidR="007F11F6" w:rsidRPr="007F11F6">
        <w:t>complaint</w:t>
      </w:r>
      <w:r w:rsidR="00057F86">
        <w:t>s</w:t>
      </w:r>
      <w:r w:rsidR="0082315A" w:rsidRPr="007F11F6">
        <w:t xml:space="preserve"> </w:t>
      </w:r>
      <w:r w:rsidR="00057F86">
        <w:t xml:space="preserve">separately </w:t>
      </w:r>
      <w:r w:rsidR="0082315A" w:rsidRPr="007F11F6">
        <w:t>by municipality and also expressed as complaints per 1,000 residents of each municipality</w:t>
      </w:r>
      <w:r w:rsidR="007F11F6" w:rsidRPr="007F11F6">
        <w:t xml:space="preserve"> – the </w:t>
      </w:r>
      <w:r w:rsidR="00E724C4">
        <w:t>first</w:t>
      </w:r>
      <w:r w:rsidR="007F11F6" w:rsidRPr="007F11F6">
        <w:t xml:space="preserve"> table orders the towns alphabetically and the </w:t>
      </w:r>
      <w:r w:rsidR="00E724C4">
        <w:t>second</w:t>
      </w:r>
      <w:r w:rsidR="007F11F6" w:rsidRPr="007F11F6">
        <w:t xml:space="preserve"> table ranks the municipalities based on the quantity of complaints per</w:t>
      </w:r>
      <w:r w:rsidR="009E4F4A">
        <w:t xml:space="preserve"> </w:t>
      </w:r>
      <w:r w:rsidR="007F11F6" w:rsidRPr="007F11F6">
        <w:t>1,000 residents.</w:t>
      </w:r>
      <w:r w:rsidR="0082315A" w:rsidRPr="007F11F6">
        <w:t xml:space="preserve">  </w:t>
      </w:r>
      <w:r w:rsidR="00057F86" w:rsidRPr="007F11F6">
        <w:t>For example,</w:t>
      </w:r>
      <w:r w:rsidR="00A3196A">
        <w:t xml:space="preserve"> </w:t>
      </w:r>
      <w:r w:rsidR="00A43F41">
        <w:t xml:space="preserve">nine complaints in Granby (population 11,316) results in a complaint rate of </w:t>
      </w:r>
      <w:r w:rsidR="0071676F">
        <w:t>0.80</w:t>
      </w:r>
      <w:r w:rsidR="004319B1">
        <w:t>,</w:t>
      </w:r>
      <w:r w:rsidR="0071676F">
        <w:t xml:space="preserve"> and </w:t>
      </w:r>
      <w:r w:rsidR="00057F86" w:rsidRPr="007F11F6">
        <w:t xml:space="preserve">42 complaints in Stamford (population 125,109) results in a complaint rate of 0.34. </w:t>
      </w:r>
      <w:r w:rsidR="00D71976">
        <w:t xml:space="preserve"> </w:t>
      </w:r>
      <w:r w:rsidR="00876F10">
        <w:t>There were no</w:t>
      </w:r>
      <w:r w:rsidR="00FA3959" w:rsidRPr="007F11F6">
        <w:t xml:space="preserve"> clear trends from the data on the incidence of complaints by municipality</w:t>
      </w:r>
      <w:r w:rsidR="00876F10">
        <w:t xml:space="preserve"> alone</w:t>
      </w:r>
      <w:r w:rsidR="00FA3959" w:rsidRPr="007F11F6">
        <w:t xml:space="preserve">.  </w:t>
      </w:r>
    </w:p>
    <w:p w14:paraId="7DAF7B48" w14:textId="77777777" w:rsidR="00311841" w:rsidRPr="00D71976" w:rsidRDefault="00FA3959" w:rsidP="00A360FC">
      <w:pPr>
        <w:spacing w:line="480" w:lineRule="auto"/>
        <w:ind w:left="720"/>
      </w:pPr>
      <w:r w:rsidRPr="007F11F6">
        <w:t xml:space="preserve">It is possible, however, that some patterns might be revealed </w:t>
      </w:r>
      <w:r w:rsidR="00876F10">
        <w:t>by cross</w:t>
      </w:r>
      <w:r w:rsidR="00856AA6">
        <w:t>-</w:t>
      </w:r>
      <w:r w:rsidR="00876F10">
        <w:t>referencing with the number of</w:t>
      </w:r>
      <w:r w:rsidRPr="007F11F6">
        <w:t xml:space="preserve"> customers served by each</w:t>
      </w:r>
      <w:r w:rsidR="00A93FF2">
        <w:t xml:space="preserve"> Supplier</w:t>
      </w:r>
      <w:r w:rsidRPr="007F11F6">
        <w:t xml:space="preserve"> within each municipality</w:t>
      </w:r>
      <w:r w:rsidR="00876F10">
        <w:t>, which numbers were sought by OCC from individual</w:t>
      </w:r>
      <w:r w:rsidR="00A93FF2">
        <w:t xml:space="preserve"> Supplier</w:t>
      </w:r>
      <w:r w:rsidR="00876F10">
        <w:t>s and provided under motions for protective orders</w:t>
      </w:r>
      <w:r w:rsidR="006F69E8">
        <w:t xml:space="preserve"> for some suppliers</w:t>
      </w:r>
      <w:r w:rsidRPr="007F11F6">
        <w:t>.</w:t>
      </w:r>
      <w:r w:rsidR="00A3196A">
        <w:t xml:space="preserve">  </w:t>
      </w:r>
    </w:p>
    <w:p w14:paraId="5019728A" w14:textId="77777777" w:rsidR="00022383" w:rsidRDefault="00022383" w:rsidP="0009426F">
      <w:pPr>
        <w:spacing w:line="480" w:lineRule="auto"/>
        <w:ind w:left="720" w:hanging="720"/>
        <w:outlineLvl w:val="1"/>
        <w:rPr>
          <w:b/>
        </w:rPr>
      </w:pPr>
      <w:bookmarkStart w:id="32" w:name="_Toc382029121"/>
      <w:r>
        <w:rPr>
          <w:b/>
        </w:rPr>
        <w:t>Reasons for Complaints</w:t>
      </w:r>
      <w:bookmarkEnd w:id="32"/>
    </w:p>
    <w:p w14:paraId="7B4BFBDC" w14:textId="77777777" w:rsidR="005E0F9B" w:rsidRDefault="005E0F9B" w:rsidP="00157C92">
      <w:pPr>
        <w:spacing w:line="480" w:lineRule="auto"/>
        <w:ind w:left="720" w:hanging="720"/>
        <w:rPr>
          <w:b/>
        </w:rPr>
      </w:pPr>
      <w:r>
        <w:rPr>
          <w:b/>
        </w:rPr>
        <w:t>Q:</w:t>
      </w:r>
      <w:r>
        <w:rPr>
          <w:b/>
        </w:rPr>
        <w:tab/>
        <w:t xml:space="preserve">Please describe the </w:t>
      </w:r>
      <w:r w:rsidR="00355A97">
        <w:rPr>
          <w:b/>
        </w:rPr>
        <w:t xml:space="preserve">categories </w:t>
      </w:r>
      <w:r>
        <w:rPr>
          <w:b/>
        </w:rPr>
        <w:t>the PURA Intake Forms include</w:t>
      </w:r>
      <w:r w:rsidR="00AC585C">
        <w:rPr>
          <w:b/>
        </w:rPr>
        <w:t xml:space="preserve">. </w:t>
      </w:r>
    </w:p>
    <w:p w14:paraId="2D0A1E0F" w14:textId="77777777" w:rsidR="00B26A97" w:rsidRDefault="005E0F9B" w:rsidP="00B769EB">
      <w:pPr>
        <w:spacing w:line="480" w:lineRule="auto"/>
        <w:ind w:left="720" w:hanging="720"/>
      </w:pPr>
      <w:r>
        <w:t>A:</w:t>
      </w:r>
      <w:r>
        <w:tab/>
        <w:t>PURA Staff classify each complaint among the following five categories:</w:t>
      </w:r>
      <w:r w:rsidRPr="002F2E09">
        <w:t xml:space="preserve"> billing; general complaint; quality of service; slamming; </w:t>
      </w:r>
      <w:r w:rsidR="00355A97">
        <w:t xml:space="preserve">and </w:t>
      </w:r>
      <w:r w:rsidRPr="002F2E09">
        <w:t>termination.</w:t>
      </w:r>
      <w:r>
        <w:t xml:space="preserve">  The PURA Intake Form also includes some or all of the following: PURA Staff’s description of the consumer’s complaint; the verbatim e-mail or letter from the consumer; or an “embedded” letter (</w:t>
      </w:r>
      <w:r w:rsidR="001A0411">
        <w:t>the original of which was not accessible</w:t>
      </w:r>
      <w:r>
        <w:t>).  Also</w:t>
      </w:r>
      <w:r w:rsidR="006A085B">
        <w:t>,</w:t>
      </w:r>
      <w:r>
        <w:t xml:space="preserve"> PURA Staff’</w:t>
      </w:r>
      <w:r w:rsidR="002D227D">
        <w:t>s description of</w:t>
      </w:r>
      <w:r>
        <w:t xml:space="preserve"> the company’s response </w:t>
      </w:r>
      <w:r w:rsidR="002D227D">
        <w:t xml:space="preserve">(or the company’s letter to PURA) </w:t>
      </w:r>
      <w:r>
        <w:t xml:space="preserve">sometimes shed light on the nature of the complaint.  Based on </w:t>
      </w:r>
      <w:r w:rsidR="00AD6779">
        <w:t xml:space="preserve">our </w:t>
      </w:r>
      <w:r>
        <w:t>review of the PURA Intake Forms,</w:t>
      </w:r>
      <w:r w:rsidR="008B6DBC">
        <w:t xml:space="preserve"> we </w:t>
      </w:r>
      <w:r>
        <w:t>observed complaints such as these:</w:t>
      </w:r>
      <w:r w:rsidR="00ED55E4">
        <w:t xml:space="preserve">  </w:t>
      </w:r>
    </w:p>
    <w:p w14:paraId="782FF818" w14:textId="77777777" w:rsidR="00B26A97" w:rsidRPr="00D57A48" w:rsidRDefault="00B26A97" w:rsidP="00451CD2">
      <w:pPr>
        <w:pStyle w:val="ColorfulShading-Accent31"/>
        <w:rPr>
          <w:rFonts w:ascii="Times New Roman" w:hAnsi="Times New Roman"/>
          <w:i/>
          <w:sz w:val="24"/>
          <w:szCs w:val="24"/>
        </w:rPr>
      </w:pPr>
      <w:r w:rsidRPr="00D57A48">
        <w:rPr>
          <w:rFonts w:ascii="Times New Roman" w:hAnsi="Times New Roman"/>
          <w:i/>
          <w:sz w:val="24"/>
          <w:szCs w:val="24"/>
        </w:rPr>
        <w:t>High rates</w:t>
      </w:r>
      <w:r w:rsidR="000F3E93">
        <w:rPr>
          <w:rFonts w:ascii="Times New Roman" w:hAnsi="Times New Roman"/>
          <w:i/>
          <w:sz w:val="24"/>
          <w:szCs w:val="24"/>
        </w:rPr>
        <w:t>; practices associated with rate changes either violate state law or, if within the letter of the law, are maintainable only because customers lack sufficient</w:t>
      </w:r>
      <w:r w:rsidR="004B7CBD">
        <w:rPr>
          <w:rFonts w:ascii="Times New Roman" w:hAnsi="Times New Roman"/>
          <w:i/>
          <w:sz w:val="24"/>
          <w:szCs w:val="24"/>
        </w:rPr>
        <w:t>, timely</w:t>
      </w:r>
      <w:r w:rsidR="000F3E93">
        <w:rPr>
          <w:rFonts w:ascii="Times New Roman" w:hAnsi="Times New Roman"/>
          <w:i/>
          <w:sz w:val="24"/>
          <w:szCs w:val="24"/>
        </w:rPr>
        <w:t xml:space="preserve"> information</w:t>
      </w:r>
      <w:r w:rsidRPr="00EF1A71">
        <w:rPr>
          <w:rFonts w:ascii="Times New Roman" w:hAnsi="Times New Roman"/>
          <w:sz w:val="24"/>
          <w:szCs w:val="24"/>
        </w:rPr>
        <w:t>:</w:t>
      </w:r>
    </w:p>
    <w:p w14:paraId="634D97F8" w14:textId="77777777" w:rsidR="00B26A97" w:rsidRPr="00ED3C72" w:rsidRDefault="00B26A97" w:rsidP="00B26A97">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Customers are “livid,” characterize</w:t>
      </w:r>
      <w:r w:rsidR="00A93FF2">
        <w:rPr>
          <w:rFonts w:ascii="Times New Roman" w:hAnsi="Times New Roman"/>
          <w:sz w:val="24"/>
          <w:szCs w:val="24"/>
        </w:rPr>
        <w:t xml:space="preserve"> Supplier</w:t>
      </w:r>
      <w:r w:rsidRPr="00ED3C72">
        <w:rPr>
          <w:rFonts w:ascii="Times New Roman" w:hAnsi="Times New Roman"/>
          <w:sz w:val="24"/>
          <w:szCs w:val="24"/>
        </w:rPr>
        <w:t xml:space="preserve">s’ actions as “bait-and-switch,” state that high rates are “extortion.” </w:t>
      </w:r>
    </w:p>
    <w:p w14:paraId="32CBEA9F" w14:textId="77777777" w:rsidR="00B26A97" w:rsidRDefault="00B26A97" w:rsidP="00B26A97">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 xml:space="preserve">Consumer uses electronic bill payment and “did not notice till this month” when the “bill jumped” to $900.  </w:t>
      </w:r>
      <w:r w:rsidR="003D7C3A">
        <w:rPr>
          <w:rFonts w:ascii="Times New Roman" w:hAnsi="Times New Roman"/>
          <w:sz w:val="24"/>
          <w:szCs w:val="24"/>
        </w:rPr>
        <w:t>(</w:t>
      </w:r>
      <w:r w:rsidRPr="00ED3C72">
        <w:rPr>
          <w:rFonts w:ascii="Times New Roman" w:hAnsi="Times New Roman"/>
          <w:sz w:val="24"/>
          <w:szCs w:val="24"/>
        </w:rPr>
        <w:t>PDF 14-26</w:t>
      </w:r>
      <w:r w:rsidR="003D7C3A">
        <w:rPr>
          <w:rFonts w:ascii="Times New Roman" w:hAnsi="Times New Roman"/>
          <w:sz w:val="24"/>
          <w:szCs w:val="24"/>
        </w:rPr>
        <w:t>)</w:t>
      </w:r>
      <w:r w:rsidR="001139B9">
        <w:rPr>
          <w:rFonts w:ascii="Times New Roman" w:hAnsi="Times New Roman"/>
          <w:sz w:val="24"/>
          <w:szCs w:val="24"/>
        </w:rPr>
        <w:t>.</w:t>
      </w:r>
      <w:r w:rsidR="001139B9">
        <w:rPr>
          <w:rStyle w:val="FootnoteReference"/>
          <w:szCs w:val="24"/>
        </w:rPr>
        <w:footnoteReference w:id="26"/>
      </w:r>
    </w:p>
    <w:p w14:paraId="53F4B452" w14:textId="77777777" w:rsidR="00B26A97" w:rsidRDefault="00B26A97" w:rsidP="00B26A97">
      <w:pPr>
        <w:pStyle w:val="ColorfulShading-Accent31"/>
        <w:numPr>
          <w:ilvl w:val="0"/>
          <w:numId w:val="34"/>
        </w:numPr>
        <w:ind w:left="1440"/>
        <w:rPr>
          <w:rFonts w:ascii="Times New Roman" w:hAnsi="Times New Roman"/>
          <w:sz w:val="24"/>
          <w:szCs w:val="24"/>
        </w:rPr>
      </w:pPr>
      <w:r>
        <w:rPr>
          <w:rFonts w:ascii="Times New Roman" w:hAnsi="Times New Roman"/>
          <w:sz w:val="24"/>
          <w:szCs w:val="24"/>
        </w:rPr>
        <w:t>Customers call practices “unethical” –</w:t>
      </w:r>
      <w:r w:rsidR="00615441">
        <w:rPr>
          <w:rFonts w:ascii="Times New Roman" w:hAnsi="Times New Roman"/>
          <w:sz w:val="24"/>
          <w:szCs w:val="24"/>
        </w:rPr>
        <w:t>(</w:t>
      </w:r>
      <w:r w:rsidRPr="009E4F4A">
        <w:rPr>
          <w:rFonts w:ascii="Times New Roman" w:hAnsi="Times New Roman"/>
          <w:i/>
          <w:sz w:val="24"/>
          <w:szCs w:val="24"/>
        </w:rPr>
        <w:t>see, e.g.</w:t>
      </w:r>
      <w:r>
        <w:rPr>
          <w:rFonts w:ascii="Times New Roman" w:hAnsi="Times New Roman"/>
          <w:sz w:val="24"/>
          <w:szCs w:val="24"/>
        </w:rPr>
        <w:t>, PDF 20-25</w:t>
      </w:r>
      <w:r w:rsidR="00615441">
        <w:rPr>
          <w:rFonts w:ascii="Times New Roman" w:hAnsi="Times New Roman"/>
          <w:sz w:val="24"/>
          <w:szCs w:val="24"/>
        </w:rPr>
        <w:t>)</w:t>
      </w:r>
      <w:r>
        <w:rPr>
          <w:rFonts w:ascii="Times New Roman" w:hAnsi="Times New Roman"/>
          <w:sz w:val="24"/>
          <w:szCs w:val="24"/>
        </w:rPr>
        <w:t xml:space="preserve"> and refer to price-gouging.</w:t>
      </w:r>
    </w:p>
    <w:p w14:paraId="6DB69078" w14:textId="77777777" w:rsidR="00B26A97" w:rsidRDefault="00B26A97" w:rsidP="00B26A97">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Failure to charge the promised rates (</w:t>
      </w:r>
      <w:r w:rsidRPr="009E4F4A">
        <w:rPr>
          <w:rFonts w:ascii="Times New Roman" w:hAnsi="Times New Roman"/>
          <w:i/>
          <w:sz w:val="24"/>
          <w:szCs w:val="24"/>
        </w:rPr>
        <w:t xml:space="preserve">see </w:t>
      </w:r>
      <w:r w:rsidR="008414AB">
        <w:rPr>
          <w:rFonts w:ascii="Times New Roman" w:hAnsi="Times New Roman"/>
          <w:i/>
          <w:sz w:val="24"/>
          <w:szCs w:val="24"/>
        </w:rPr>
        <w:t>,</w:t>
      </w:r>
      <w:r w:rsidRPr="009E4F4A">
        <w:rPr>
          <w:rFonts w:ascii="Times New Roman" w:hAnsi="Times New Roman"/>
          <w:i/>
          <w:sz w:val="24"/>
          <w:szCs w:val="24"/>
        </w:rPr>
        <w:t>e.g.,</w:t>
      </w:r>
      <w:r w:rsidRPr="00ED3C72">
        <w:rPr>
          <w:rFonts w:ascii="Times New Roman" w:hAnsi="Times New Roman"/>
          <w:sz w:val="24"/>
          <w:szCs w:val="24"/>
        </w:rPr>
        <w:t xml:space="preserve"> </w:t>
      </w:r>
      <w:r w:rsidR="00AA52CE">
        <w:rPr>
          <w:rFonts w:ascii="Times New Roman" w:hAnsi="Times New Roman"/>
          <w:sz w:val="24"/>
          <w:szCs w:val="24"/>
        </w:rPr>
        <w:t xml:space="preserve">PDF </w:t>
      </w:r>
      <w:r w:rsidRPr="00ED3C72">
        <w:rPr>
          <w:rFonts w:ascii="Times New Roman" w:hAnsi="Times New Roman"/>
          <w:sz w:val="24"/>
          <w:szCs w:val="24"/>
        </w:rPr>
        <w:t>13-34, 13-36, and 14-1).</w:t>
      </w:r>
    </w:p>
    <w:p w14:paraId="0FD12DE7" w14:textId="77777777" w:rsidR="00D57A48" w:rsidRDefault="00D57A48" w:rsidP="00D57A48">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Raised rate without notification.</w:t>
      </w:r>
    </w:p>
    <w:p w14:paraId="66DAB661" w14:textId="77777777" w:rsidR="00D57A48" w:rsidRDefault="00D57A48" w:rsidP="00D57A48">
      <w:pPr>
        <w:pStyle w:val="ColorfulShading-Accent31"/>
        <w:numPr>
          <w:ilvl w:val="0"/>
          <w:numId w:val="34"/>
        </w:numPr>
        <w:ind w:left="1440"/>
        <w:rPr>
          <w:rFonts w:ascii="Times New Roman" w:hAnsi="Times New Roman"/>
          <w:sz w:val="24"/>
          <w:szCs w:val="24"/>
        </w:rPr>
      </w:pPr>
      <w:r>
        <w:rPr>
          <w:rFonts w:ascii="Times New Roman" w:hAnsi="Times New Roman"/>
          <w:sz w:val="24"/>
          <w:szCs w:val="24"/>
        </w:rPr>
        <w:t xml:space="preserve">First month’s rate is low and </w:t>
      </w:r>
      <w:r w:rsidR="00402810">
        <w:rPr>
          <w:rFonts w:ascii="Times New Roman" w:hAnsi="Times New Roman"/>
          <w:sz w:val="24"/>
          <w:szCs w:val="24"/>
        </w:rPr>
        <w:t>in</w:t>
      </w:r>
      <w:r>
        <w:rPr>
          <w:rFonts w:ascii="Times New Roman" w:hAnsi="Times New Roman"/>
          <w:sz w:val="24"/>
          <w:szCs w:val="24"/>
        </w:rPr>
        <w:t xml:space="preserve"> the second and subsequent months</w:t>
      </w:r>
      <w:r w:rsidR="00B769EB">
        <w:rPr>
          <w:rFonts w:ascii="Times New Roman" w:hAnsi="Times New Roman"/>
          <w:sz w:val="24"/>
          <w:szCs w:val="24"/>
        </w:rPr>
        <w:t>,</w:t>
      </w:r>
      <w:r>
        <w:rPr>
          <w:rFonts w:ascii="Times New Roman" w:hAnsi="Times New Roman"/>
          <w:sz w:val="24"/>
          <w:szCs w:val="24"/>
        </w:rPr>
        <w:t xml:space="preserve"> the rate increases astronomically.</w:t>
      </w:r>
    </w:p>
    <w:p w14:paraId="6F93A1AB" w14:textId="77777777" w:rsidR="00D97339" w:rsidRDefault="00D57A48" w:rsidP="00D57A48">
      <w:pPr>
        <w:pStyle w:val="ColorfulShading-Accent31"/>
        <w:numPr>
          <w:ilvl w:val="0"/>
          <w:numId w:val="34"/>
        </w:numPr>
        <w:ind w:left="1440"/>
        <w:rPr>
          <w:rFonts w:ascii="Times New Roman" w:hAnsi="Times New Roman"/>
          <w:sz w:val="24"/>
          <w:szCs w:val="24"/>
        </w:rPr>
      </w:pPr>
      <w:r>
        <w:rPr>
          <w:rFonts w:ascii="Times New Roman" w:hAnsi="Times New Roman"/>
          <w:sz w:val="24"/>
          <w:szCs w:val="24"/>
        </w:rPr>
        <w:t>The rate on the customer’s bill is higher than the rate that the customer sees being advertised or posted on the</w:t>
      </w:r>
      <w:r w:rsidR="00A93FF2">
        <w:rPr>
          <w:rFonts w:ascii="Times New Roman" w:hAnsi="Times New Roman"/>
          <w:sz w:val="24"/>
          <w:szCs w:val="24"/>
        </w:rPr>
        <w:t xml:space="preserve"> Supplier</w:t>
      </w:r>
      <w:r>
        <w:rPr>
          <w:rFonts w:ascii="Times New Roman" w:hAnsi="Times New Roman"/>
          <w:sz w:val="24"/>
          <w:szCs w:val="24"/>
        </w:rPr>
        <w:t>’s website.</w:t>
      </w:r>
      <w:r w:rsidR="00D97339">
        <w:rPr>
          <w:rFonts w:ascii="Times New Roman" w:hAnsi="Times New Roman"/>
          <w:sz w:val="24"/>
          <w:szCs w:val="24"/>
        </w:rPr>
        <w:t xml:space="preserve"> </w:t>
      </w:r>
      <w:r w:rsidR="00D97339" w:rsidRPr="00ED3C72">
        <w:rPr>
          <w:rFonts w:ascii="Times New Roman" w:hAnsi="Times New Roman"/>
          <w:sz w:val="24"/>
          <w:szCs w:val="24"/>
        </w:rPr>
        <w:t xml:space="preserve">  </w:t>
      </w:r>
    </w:p>
    <w:p w14:paraId="0DAE15AF" w14:textId="77777777" w:rsidR="00EF1A71" w:rsidRPr="00ED3C72" w:rsidRDefault="00EF1A71" w:rsidP="00EF1A71">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Incorrect bills (</w:t>
      </w:r>
      <w:r w:rsidRPr="009E4F4A">
        <w:rPr>
          <w:rFonts w:ascii="Times New Roman" w:hAnsi="Times New Roman"/>
          <w:i/>
          <w:sz w:val="24"/>
          <w:szCs w:val="24"/>
        </w:rPr>
        <w:t>see, e.g.,</w:t>
      </w:r>
      <w:r w:rsidRPr="00ED3C72">
        <w:rPr>
          <w:rFonts w:ascii="Times New Roman" w:hAnsi="Times New Roman"/>
          <w:sz w:val="24"/>
          <w:szCs w:val="24"/>
        </w:rPr>
        <w:t xml:space="preserve"> </w:t>
      </w:r>
      <w:r w:rsidR="00AA52CE">
        <w:rPr>
          <w:rFonts w:ascii="Times New Roman" w:hAnsi="Times New Roman"/>
          <w:sz w:val="24"/>
          <w:szCs w:val="24"/>
        </w:rPr>
        <w:t xml:space="preserve">PDF </w:t>
      </w:r>
      <w:r w:rsidRPr="00ED3C72">
        <w:rPr>
          <w:rFonts w:ascii="Times New Roman" w:hAnsi="Times New Roman"/>
          <w:sz w:val="24"/>
          <w:szCs w:val="24"/>
        </w:rPr>
        <w:t>14-5).</w:t>
      </w:r>
    </w:p>
    <w:p w14:paraId="6A829817" w14:textId="77777777" w:rsidR="00B26A97" w:rsidRPr="00ED3C72" w:rsidRDefault="00B26A97" w:rsidP="00B26A97">
      <w:pPr>
        <w:pStyle w:val="ColorfulShading-Accent31"/>
        <w:ind w:left="1440"/>
        <w:rPr>
          <w:rFonts w:ascii="Times New Roman" w:hAnsi="Times New Roman"/>
          <w:sz w:val="24"/>
          <w:szCs w:val="24"/>
        </w:rPr>
      </w:pPr>
    </w:p>
    <w:p w14:paraId="2F118911" w14:textId="77777777" w:rsidR="00451CD2" w:rsidRPr="00ED3C72" w:rsidRDefault="00451CD2" w:rsidP="00451CD2">
      <w:pPr>
        <w:pStyle w:val="ColorfulShading-Accent31"/>
        <w:rPr>
          <w:rFonts w:ascii="Times New Roman" w:hAnsi="Times New Roman"/>
          <w:i/>
          <w:sz w:val="24"/>
          <w:szCs w:val="24"/>
        </w:rPr>
      </w:pPr>
      <w:r w:rsidRPr="00ED3C72">
        <w:rPr>
          <w:rFonts w:ascii="Times New Roman" w:hAnsi="Times New Roman"/>
          <w:i/>
          <w:sz w:val="24"/>
          <w:szCs w:val="24"/>
        </w:rPr>
        <w:t>Poor customer service</w:t>
      </w:r>
      <w:r w:rsidR="000F3E93">
        <w:rPr>
          <w:rFonts w:ascii="Times New Roman" w:hAnsi="Times New Roman"/>
          <w:i/>
          <w:sz w:val="24"/>
          <w:szCs w:val="24"/>
        </w:rPr>
        <w:t xml:space="preserve">; practices that </w:t>
      </w:r>
      <w:r w:rsidRPr="00ED3C72">
        <w:rPr>
          <w:rFonts w:ascii="Times New Roman" w:hAnsi="Times New Roman"/>
          <w:i/>
          <w:sz w:val="24"/>
          <w:szCs w:val="24"/>
        </w:rPr>
        <w:t xml:space="preserve">delay or deny </w:t>
      </w:r>
      <w:r w:rsidR="00D97339">
        <w:rPr>
          <w:rFonts w:ascii="Times New Roman" w:hAnsi="Times New Roman"/>
          <w:i/>
          <w:sz w:val="24"/>
          <w:szCs w:val="24"/>
        </w:rPr>
        <w:t xml:space="preserve">accurate billing, </w:t>
      </w:r>
      <w:r w:rsidR="007858E0">
        <w:rPr>
          <w:rFonts w:ascii="Times New Roman" w:hAnsi="Times New Roman"/>
          <w:i/>
          <w:sz w:val="24"/>
          <w:szCs w:val="24"/>
        </w:rPr>
        <w:t xml:space="preserve">access to information about </w:t>
      </w:r>
      <w:r w:rsidR="00D97339">
        <w:rPr>
          <w:rFonts w:ascii="Times New Roman" w:hAnsi="Times New Roman"/>
          <w:i/>
          <w:sz w:val="24"/>
          <w:szCs w:val="24"/>
        </w:rPr>
        <w:t xml:space="preserve">the customer’s </w:t>
      </w:r>
      <w:r w:rsidR="007858E0">
        <w:rPr>
          <w:rFonts w:ascii="Times New Roman" w:hAnsi="Times New Roman"/>
          <w:i/>
          <w:sz w:val="24"/>
          <w:szCs w:val="24"/>
        </w:rPr>
        <w:t>account</w:t>
      </w:r>
      <w:r w:rsidR="00D97339">
        <w:rPr>
          <w:rFonts w:ascii="Times New Roman" w:hAnsi="Times New Roman"/>
          <w:i/>
          <w:sz w:val="24"/>
          <w:szCs w:val="24"/>
        </w:rPr>
        <w:t>,</w:t>
      </w:r>
      <w:r w:rsidR="007858E0">
        <w:rPr>
          <w:rFonts w:ascii="Times New Roman" w:hAnsi="Times New Roman"/>
          <w:i/>
          <w:sz w:val="24"/>
          <w:szCs w:val="24"/>
        </w:rPr>
        <w:t xml:space="preserve"> or the ability to cancel service</w:t>
      </w:r>
      <w:r w:rsidRPr="00ED3C72">
        <w:rPr>
          <w:rFonts w:ascii="Times New Roman" w:hAnsi="Times New Roman"/>
          <w:i/>
          <w:sz w:val="24"/>
          <w:szCs w:val="24"/>
        </w:rPr>
        <w:t>:</w:t>
      </w:r>
    </w:p>
    <w:p w14:paraId="4EC41B6E" w14:textId="77777777" w:rsidR="005E0F9B" w:rsidRPr="00ED3C72" w:rsidRDefault="005E0F9B" w:rsidP="001E49E8">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 xml:space="preserve">Unduly long duration of </w:t>
      </w:r>
      <w:r w:rsidR="002D227D" w:rsidRPr="00ED3C72">
        <w:rPr>
          <w:rFonts w:ascii="Times New Roman" w:hAnsi="Times New Roman"/>
          <w:sz w:val="24"/>
          <w:szCs w:val="24"/>
        </w:rPr>
        <w:t xml:space="preserve">the </w:t>
      </w:r>
      <w:r w:rsidRPr="00ED3C72">
        <w:rPr>
          <w:rFonts w:ascii="Times New Roman" w:hAnsi="Times New Roman"/>
          <w:sz w:val="24"/>
          <w:szCs w:val="24"/>
        </w:rPr>
        <w:t>complaint resolution process</w:t>
      </w:r>
      <w:r w:rsidR="002D227D" w:rsidRPr="00ED3C72">
        <w:rPr>
          <w:rFonts w:ascii="Times New Roman" w:hAnsi="Times New Roman"/>
          <w:sz w:val="24"/>
          <w:szCs w:val="24"/>
        </w:rPr>
        <w:t xml:space="preserve"> with the</w:t>
      </w:r>
      <w:r w:rsidR="00A93FF2">
        <w:rPr>
          <w:rFonts w:ascii="Times New Roman" w:hAnsi="Times New Roman"/>
          <w:sz w:val="24"/>
          <w:szCs w:val="24"/>
        </w:rPr>
        <w:t xml:space="preserve"> Supplier</w:t>
      </w:r>
      <w:r w:rsidR="00223AA6">
        <w:rPr>
          <w:rFonts w:ascii="Times New Roman" w:hAnsi="Times New Roman"/>
          <w:sz w:val="24"/>
          <w:szCs w:val="24"/>
        </w:rPr>
        <w:t>.</w:t>
      </w:r>
      <w:r w:rsidR="001E49E8" w:rsidRPr="00ED3C72">
        <w:rPr>
          <w:rFonts w:ascii="Times New Roman" w:hAnsi="Times New Roman"/>
          <w:sz w:val="24"/>
          <w:szCs w:val="24"/>
        </w:rPr>
        <w:t xml:space="preserve"> </w:t>
      </w:r>
      <w:r w:rsidR="00451CD2" w:rsidRPr="00ED3C72">
        <w:rPr>
          <w:rFonts w:ascii="Times New Roman" w:hAnsi="Times New Roman"/>
          <w:sz w:val="24"/>
          <w:szCs w:val="24"/>
        </w:rPr>
        <w:t xml:space="preserve"> </w:t>
      </w:r>
    </w:p>
    <w:p w14:paraId="545D2506" w14:textId="77777777" w:rsidR="00451CD2" w:rsidRDefault="00451CD2" w:rsidP="00451CD2">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Told that the high rates were a result of a “computer glitch” (</w:t>
      </w:r>
      <w:r w:rsidR="00615441">
        <w:rPr>
          <w:rFonts w:ascii="Times New Roman" w:hAnsi="Times New Roman"/>
          <w:i/>
          <w:sz w:val="24"/>
          <w:szCs w:val="24"/>
        </w:rPr>
        <w:t>see</w:t>
      </w:r>
      <w:r w:rsidR="008414AB">
        <w:rPr>
          <w:rFonts w:ascii="Times New Roman" w:hAnsi="Times New Roman"/>
          <w:i/>
          <w:sz w:val="24"/>
          <w:szCs w:val="24"/>
        </w:rPr>
        <w:t>,</w:t>
      </w:r>
      <w:r w:rsidR="00615441">
        <w:rPr>
          <w:rFonts w:ascii="Times New Roman" w:hAnsi="Times New Roman"/>
          <w:i/>
          <w:sz w:val="24"/>
          <w:szCs w:val="24"/>
        </w:rPr>
        <w:t xml:space="preserve"> e.g., </w:t>
      </w:r>
      <w:r w:rsidRPr="00ED3C72">
        <w:rPr>
          <w:rFonts w:ascii="Times New Roman" w:hAnsi="Times New Roman"/>
          <w:sz w:val="24"/>
          <w:szCs w:val="24"/>
        </w:rPr>
        <w:t>PDF 1-33).</w:t>
      </w:r>
    </w:p>
    <w:p w14:paraId="14623DC2" w14:textId="77777777" w:rsidR="00B769EB" w:rsidRDefault="00B769EB" w:rsidP="00451CD2">
      <w:pPr>
        <w:pStyle w:val="ColorfulShading-Accent31"/>
        <w:numPr>
          <w:ilvl w:val="0"/>
          <w:numId w:val="34"/>
        </w:numPr>
        <w:ind w:left="1440"/>
        <w:rPr>
          <w:rFonts w:ascii="Times New Roman" w:hAnsi="Times New Roman"/>
          <w:sz w:val="24"/>
          <w:szCs w:val="24"/>
        </w:rPr>
      </w:pPr>
      <w:r>
        <w:rPr>
          <w:rFonts w:ascii="Times New Roman" w:hAnsi="Times New Roman"/>
          <w:sz w:val="24"/>
          <w:szCs w:val="24"/>
        </w:rPr>
        <w:t>Told that sales representative mistakenly used an old sales script.</w:t>
      </w:r>
    </w:p>
    <w:p w14:paraId="17E80881" w14:textId="77777777" w:rsidR="00D57A48" w:rsidRDefault="00D57A48" w:rsidP="00451CD2">
      <w:pPr>
        <w:pStyle w:val="ColorfulShading-Accent31"/>
        <w:numPr>
          <w:ilvl w:val="0"/>
          <w:numId w:val="34"/>
        </w:numPr>
        <w:ind w:left="1440"/>
        <w:rPr>
          <w:rFonts w:ascii="Times New Roman" w:hAnsi="Times New Roman"/>
          <w:sz w:val="24"/>
          <w:szCs w:val="24"/>
        </w:rPr>
      </w:pPr>
      <w:r>
        <w:rPr>
          <w:rFonts w:ascii="Times New Roman" w:hAnsi="Times New Roman"/>
          <w:sz w:val="24"/>
          <w:szCs w:val="24"/>
        </w:rPr>
        <w:t>Customer is unable to reach the</w:t>
      </w:r>
      <w:r w:rsidR="00A93FF2">
        <w:rPr>
          <w:rFonts w:ascii="Times New Roman" w:hAnsi="Times New Roman"/>
          <w:sz w:val="24"/>
          <w:szCs w:val="24"/>
        </w:rPr>
        <w:t xml:space="preserve"> Supplier</w:t>
      </w:r>
      <w:r>
        <w:rPr>
          <w:rFonts w:ascii="Times New Roman" w:hAnsi="Times New Roman"/>
          <w:sz w:val="24"/>
          <w:szCs w:val="24"/>
        </w:rPr>
        <w:t xml:space="preserve"> because the phones are not staffed or operated adequately, which delays the cancellation process and may cause cancellation fees.</w:t>
      </w:r>
    </w:p>
    <w:p w14:paraId="3B9B0C37" w14:textId="77777777" w:rsidR="00B769EB" w:rsidRDefault="00B769EB" w:rsidP="00451CD2">
      <w:pPr>
        <w:pStyle w:val="ColorfulShading-Accent31"/>
        <w:numPr>
          <w:ilvl w:val="0"/>
          <w:numId w:val="34"/>
        </w:numPr>
        <w:ind w:left="1440"/>
        <w:rPr>
          <w:rFonts w:ascii="Times New Roman" w:hAnsi="Times New Roman"/>
          <w:sz w:val="24"/>
          <w:szCs w:val="24"/>
        </w:rPr>
      </w:pPr>
      <w:r>
        <w:rPr>
          <w:rFonts w:ascii="Times New Roman" w:hAnsi="Times New Roman"/>
          <w:sz w:val="24"/>
          <w:szCs w:val="24"/>
        </w:rPr>
        <w:t>Very long hold times and then after waiting, call may get cut off.</w:t>
      </w:r>
    </w:p>
    <w:p w14:paraId="46305B2B" w14:textId="77777777" w:rsidR="00B769EB" w:rsidRDefault="00B769EB" w:rsidP="00451CD2">
      <w:pPr>
        <w:pStyle w:val="ColorfulShading-Accent31"/>
        <w:numPr>
          <w:ilvl w:val="0"/>
          <w:numId w:val="34"/>
        </w:numPr>
        <w:ind w:left="1440"/>
        <w:rPr>
          <w:rFonts w:ascii="Times New Roman" w:hAnsi="Times New Roman"/>
          <w:sz w:val="24"/>
          <w:szCs w:val="24"/>
        </w:rPr>
      </w:pPr>
      <w:r>
        <w:rPr>
          <w:rFonts w:ascii="Times New Roman" w:hAnsi="Times New Roman"/>
          <w:sz w:val="24"/>
          <w:szCs w:val="24"/>
        </w:rPr>
        <w:t>Supplier promises to call back but does not call back.</w:t>
      </w:r>
    </w:p>
    <w:p w14:paraId="48265B82" w14:textId="77777777" w:rsidR="00D97339" w:rsidRDefault="00D97339" w:rsidP="00D97339">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Delay in implementing rate reductions.</w:t>
      </w:r>
    </w:p>
    <w:p w14:paraId="029170BC" w14:textId="77777777" w:rsidR="00AF3DFA" w:rsidRPr="00223AA6" w:rsidRDefault="00AF3DFA" w:rsidP="009E4F4A">
      <w:pPr>
        <w:pStyle w:val="ColorfulShading-Accent31"/>
        <w:numPr>
          <w:ilvl w:val="0"/>
          <w:numId w:val="34"/>
        </w:numPr>
        <w:ind w:left="1440"/>
        <w:rPr>
          <w:rFonts w:ascii="Times New Roman" w:hAnsi="Times New Roman"/>
          <w:sz w:val="24"/>
          <w:szCs w:val="24"/>
        </w:rPr>
      </w:pPr>
      <w:r w:rsidRPr="00223AA6">
        <w:rPr>
          <w:rFonts w:ascii="Times New Roman" w:hAnsi="Times New Roman"/>
          <w:sz w:val="24"/>
          <w:szCs w:val="24"/>
        </w:rPr>
        <w:t>Customer attempt</w:t>
      </w:r>
      <w:r w:rsidR="00EF1A71" w:rsidRPr="00615441">
        <w:rPr>
          <w:rFonts w:ascii="Times New Roman" w:hAnsi="Times New Roman"/>
          <w:sz w:val="24"/>
          <w:szCs w:val="24"/>
        </w:rPr>
        <w:t>s</w:t>
      </w:r>
      <w:r w:rsidRPr="00615441">
        <w:rPr>
          <w:rFonts w:ascii="Times New Roman" w:hAnsi="Times New Roman"/>
          <w:sz w:val="24"/>
          <w:szCs w:val="24"/>
        </w:rPr>
        <w:t xml:space="preserve"> to cancel on the same day </w:t>
      </w:r>
      <w:r w:rsidR="00EF1A71" w:rsidRPr="00615441">
        <w:rPr>
          <w:rFonts w:ascii="Times New Roman" w:hAnsi="Times New Roman"/>
          <w:sz w:val="24"/>
          <w:szCs w:val="24"/>
        </w:rPr>
        <w:t>as</w:t>
      </w:r>
      <w:r w:rsidRPr="00615441">
        <w:rPr>
          <w:rFonts w:ascii="Times New Roman" w:hAnsi="Times New Roman"/>
          <w:sz w:val="24"/>
          <w:szCs w:val="24"/>
        </w:rPr>
        <w:t xml:space="preserve"> enrollment and </w:t>
      </w:r>
      <w:r w:rsidR="00EF1A71" w:rsidRPr="00615441">
        <w:rPr>
          <w:rFonts w:ascii="Times New Roman" w:hAnsi="Times New Roman"/>
          <w:sz w:val="24"/>
          <w:szCs w:val="24"/>
        </w:rPr>
        <w:t xml:space="preserve">is </w:t>
      </w:r>
      <w:r w:rsidRPr="00615441">
        <w:rPr>
          <w:rFonts w:ascii="Times New Roman" w:hAnsi="Times New Roman"/>
          <w:sz w:val="24"/>
          <w:szCs w:val="24"/>
        </w:rPr>
        <w:t>told that they cannot without incurring a fee</w:t>
      </w:r>
      <w:r w:rsidR="00EF1A71" w:rsidRPr="00816D0C">
        <w:rPr>
          <w:rFonts w:ascii="Times New Roman" w:hAnsi="Times New Roman"/>
          <w:sz w:val="24"/>
          <w:szCs w:val="24"/>
        </w:rPr>
        <w:t>.</w:t>
      </w:r>
      <w:r w:rsidR="00EF1A71" w:rsidRPr="00223AA6" w:rsidDel="00EF1A71">
        <w:rPr>
          <w:rFonts w:ascii="Times New Roman" w:hAnsi="Times New Roman"/>
          <w:sz w:val="24"/>
          <w:szCs w:val="24"/>
        </w:rPr>
        <w:t xml:space="preserve"> </w:t>
      </w:r>
    </w:p>
    <w:p w14:paraId="209E7BFE" w14:textId="77777777" w:rsidR="003D2F70" w:rsidRPr="00D57A48" w:rsidRDefault="003D2F70" w:rsidP="00AF3DFA">
      <w:pPr>
        <w:pStyle w:val="ColorfulShading-Accent31"/>
        <w:ind w:left="1440"/>
        <w:rPr>
          <w:rFonts w:ascii="Times New Roman" w:hAnsi="Times New Roman"/>
          <w:i/>
          <w:sz w:val="24"/>
          <w:szCs w:val="24"/>
        </w:rPr>
      </w:pPr>
    </w:p>
    <w:p w14:paraId="7B0792BE" w14:textId="77777777" w:rsidR="00451CD2" w:rsidRPr="00ED3C72" w:rsidRDefault="007858E0" w:rsidP="003D2F70">
      <w:pPr>
        <w:pStyle w:val="ColorfulShading-Accent31"/>
        <w:rPr>
          <w:rFonts w:ascii="Times New Roman" w:hAnsi="Times New Roman"/>
          <w:i/>
          <w:sz w:val="24"/>
          <w:szCs w:val="24"/>
        </w:rPr>
      </w:pPr>
      <w:r>
        <w:rPr>
          <w:rFonts w:ascii="Times New Roman" w:hAnsi="Times New Roman"/>
          <w:i/>
          <w:sz w:val="24"/>
          <w:szCs w:val="24"/>
        </w:rPr>
        <w:t>D</w:t>
      </w:r>
      <w:r w:rsidR="00451CD2" w:rsidRPr="00ED3C72">
        <w:rPr>
          <w:rFonts w:ascii="Times New Roman" w:hAnsi="Times New Roman"/>
          <w:i/>
          <w:sz w:val="24"/>
          <w:szCs w:val="24"/>
        </w:rPr>
        <w:t xml:space="preserve">eceptive </w:t>
      </w:r>
      <w:r>
        <w:rPr>
          <w:rFonts w:ascii="Times New Roman" w:hAnsi="Times New Roman"/>
          <w:i/>
          <w:sz w:val="24"/>
          <w:szCs w:val="24"/>
        </w:rPr>
        <w:t>promotions; misrepresentation of</w:t>
      </w:r>
      <w:r w:rsidR="00A93FF2">
        <w:rPr>
          <w:rFonts w:ascii="Times New Roman" w:hAnsi="Times New Roman"/>
          <w:i/>
          <w:sz w:val="24"/>
          <w:szCs w:val="24"/>
        </w:rPr>
        <w:t xml:space="preserve"> Supplier</w:t>
      </w:r>
      <w:r>
        <w:rPr>
          <w:rFonts w:ascii="Times New Roman" w:hAnsi="Times New Roman"/>
          <w:i/>
          <w:sz w:val="24"/>
          <w:szCs w:val="24"/>
        </w:rPr>
        <w:t xml:space="preserve"> identity:</w:t>
      </w:r>
    </w:p>
    <w:p w14:paraId="6C958133" w14:textId="77777777" w:rsidR="00451CD2" w:rsidRPr="00ED3C72" w:rsidRDefault="007858E0" w:rsidP="00451CD2">
      <w:pPr>
        <w:pStyle w:val="ColorfulShading-Accent31"/>
        <w:numPr>
          <w:ilvl w:val="0"/>
          <w:numId w:val="34"/>
        </w:numPr>
        <w:ind w:left="1440"/>
        <w:rPr>
          <w:rFonts w:ascii="Times New Roman" w:hAnsi="Times New Roman"/>
          <w:sz w:val="24"/>
          <w:szCs w:val="24"/>
        </w:rPr>
      </w:pPr>
      <w:r>
        <w:rPr>
          <w:rFonts w:ascii="Times New Roman" w:hAnsi="Times New Roman"/>
          <w:sz w:val="24"/>
          <w:szCs w:val="24"/>
        </w:rPr>
        <w:t xml:space="preserve">Supplier promises customer </w:t>
      </w:r>
      <w:r w:rsidR="00451CD2" w:rsidRPr="00ED3C72">
        <w:rPr>
          <w:rFonts w:ascii="Times New Roman" w:hAnsi="Times New Roman"/>
          <w:sz w:val="24"/>
          <w:szCs w:val="24"/>
        </w:rPr>
        <w:t xml:space="preserve">rebate card </w:t>
      </w:r>
      <w:r>
        <w:rPr>
          <w:rFonts w:ascii="Times New Roman" w:hAnsi="Times New Roman"/>
          <w:sz w:val="24"/>
          <w:szCs w:val="24"/>
        </w:rPr>
        <w:t>with service initiation;</w:t>
      </w:r>
      <w:r w:rsidR="00A93FF2">
        <w:rPr>
          <w:rFonts w:ascii="Times New Roman" w:hAnsi="Times New Roman"/>
          <w:sz w:val="24"/>
          <w:szCs w:val="24"/>
        </w:rPr>
        <w:t xml:space="preserve"> Supplier</w:t>
      </w:r>
      <w:r>
        <w:rPr>
          <w:rFonts w:ascii="Times New Roman" w:hAnsi="Times New Roman"/>
          <w:sz w:val="24"/>
          <w:szCs w:val="24"/>
        </w:rPr>
        <w:t xml:space="preserve"> does not send card</w:t>
      </w:r>
      <w:r w:rsidR="00451CD2" w:rsidRPr="00ED3C72">
        <w:rPr>
          <w:rFonts w:ascii="Times New Roman" w:hAnsi="Times New Roman"/>
          <w:sz w:val="24"/>
          <w:szCs w:val="24"/>
        </w:rPr>
        <w:t xml:space="preserve"> (</w:t>
      </w:r>
      <w:r w:rsidR="00AF3DFA">
        <w:rPr>
          <w:rFonts w:ascii="Times New Roman" w:hAnsi="Times New Roman"/>
          <w:sz w:val="24"/>
          <w:szCs w:val="24"/>
        </w:rPr>
        <w:t>very frequent complaint</w:t>
      </w:r>
      <w:r w:rsidR="00451CD2" w:rsidRPr="00ED3C72">
        <w:rPr>
          <w:rFonts w:ascii="Times New Roman" w:hAnsi="Times New Roman"/>
          <w:sz w:val="24"/>
          <w:szCs w:val="24"/>
        </w:rPr>
        <w:t>)</w:t>
      </w:r>
      <w:r w:rsidR="00AF3DFA">
        <w:rPr>
          <w:rFonts w:ascii="Times New Roman" w:hAnsi="Times New Roman"/>
          <w:sz w:val="24"/>
          <w:szCs w:val="24"/>
        </w:rPr>
        <w:t xml:space="preserve">. </w:t>
      </w:r>
    </w:p>
    <w:p w14:paraId="3E8A7D3C" w14:textId="77777777" w:rsidR="00451CD2" w:rsidRDefault="007858E0" w:rsidP="00451CD2">
      <w:pPr>
        <w:pStyle w:val="ColorfulShading-Accent31"/>
        <w:numPr>
          <w:ilvl w:val="0"/>
          <w:numId w:val="34"/>
        </w:numPr>
        <w:ind w:left="1440"/>
        <w:rPr>
          <w:rFonts w:ascii="Times New Roman" w:hAnsi="Times New Roman"/>
          <w:sz w:val="24"/>
          <w:szCs w:val="24"/>
        </w:rPr>
      </w:pPr>
      <w:r>
        <w:rPr>
          <w:rFonts w:ascii="Times New Roman" w:hAnsi="Times New Roman"/>
          <w:sz w:val="24"/>
          <w:szCs w:val="24"/>
        </w:rPr>
        <w:t>S</w:t>
      </w:r>
      <w:r w:rsidR="00451CD2" w:rsidRPr="00ED3C72">
        <w:rPr>
          <w:rFonts w:ascii="Times New Roman" w:hAnsi="Times New Roman"/>
          <w:sz w:val="24"/>
          <w:szCs w:val="24"/>
        </w:rPr>
        <w:t xml:space="preserve">upplier representative </w:t>
      </w:r>
      <w:r>
        <w:rPr>
          <w:rFonts w:ascii="Times New Roman" w:hAnsi="Times New Roman"/>
          <w:sz w:val="24"/>
          <w:szCs w:val="24"/>
        </w:rPr>
        <w:t xml:space="preserve">tells customer </w:t>
      </w:r>
      <w:r w:rsidR="00451CD2" w:rsidRPr="00ED3C72">
        <w:rPr>
          <w:rFonts w:ascii="Times New Roman" w:hAnsi="Times New Roman"/>
          <w:sz w:val="24"/>
          <w:szCs w:val="24"/>
        </w:rPr>
        <w:t xml:space="preserve">that CL&amp;P will shut off </w:t>
      </w:r>
      <w:r>
        <w:rPr>
          <w:rFonts w:ascii="Times New Roman" w:hAnsi="Times New Roman"/>
          <w:sz w:val="24"/>
          <w:szCs w:val="24"/>
        </w:rPr>
        <w:t>customer’s</w:t>
      </w:r>
      <w:r w:rsidR="00451CD2" w:rsidRPr="00ED3C72">
        <w:rPr>
          <w:rFonts w:ascii="Times New Roman" w:hAnsi="Times New Roman"/>
          <w:sz w:val="24"/>
          <w:szCs w:val="24"/>
        </w:rPr>
        <w:t xml:space="preserve"> power if he does not switch to that</w:t>
      </w:r>
      <w:r w:rsidR="00A93FF2">
        <w:rPr>
          <w:rFonts w:ascii="Times New Roman" w:hAnsi="Times New Roman"/>
          <w:sz w:val="24"/>
          <w:szCs w:val="24"/>
        </w:rPr>
        <w:t xml:space="preserve"> Supplier</w:t>
      </w:r>
      <w:r w:rsidR="00451CD2" w:rsidRPr="00ED3C72">
        <w:rPr>
          <w:rFonts w:ascii="Times New Roman" w:hAnsi="Times New Roman"/>
          <w:sz w:val="24"/>
          <w:szCs w:val="24"/>
        </w:rPr>
        <w:t xml:space="preserve"> (</w:t>
      </w:r>
      <w:r w:rsidR="00615441">
        <w:rPr>
          <w:rFonts w:ascii="Times New Roman" w:hAnsi="Times New Roman"/>
          <w:i/>
          <w:sz w:val="24"/>
          <w:szCs w:val="24"/>
        </w:rPr>
        <w:t xml:space="preserve">see, e.g., </w:t>
      </w:r>
      <w:r w:rsidR="00451CD2" w:rsidRPr="00ED3C72">
        <w:rPr>
          <w:rFonts w:ascii="Times New Roman" w:hAnsi="Times New Roman"/>
          <w:sz w:val="24"/>
          <w:szCs w:val="24"/>
        </w:rPr>
        <w:t>PDF</w:t>
      </w:r>
      <w:r w:rsidR="00615441">
        <w:rPr>
          <w:rFonts w:ascii="Times New Roman" w:hAnsi="Times New Roman"/>
          <w:sz w:val="24"/>
          <w:szCs w:val="24"/>
        </w:rPr>
        <w:t xml:space="preserve"> </w:t>
      </w:r>
      <w:r w:rsidR="00451CD2" w:rsidRPr="00ED3C72">
        <w:rPr>
          <w:rFonts w:ascii="Times New Roman" w:hAnsi="Times New Roman"/>
          <w:sz w:val="24"/>
          <w:szCs w:val="24"/>
        </w:rPr>
        <w:t>1-31)</w:t>
      </w:r>
      <w:r w:rsidR="00B769EB">
        <w:rPr>
          <w:rFonts w:ascii="Times New Roman" w:hAnsi="Times New Roman"/>
          <w:sz w:val="24"/>
          <w:szCs w:val="24"/>
        </w:rPr>
        <w:t xml:space="preserve">. </w:t>
      </w:r>
    </w:p>
    <w:p w14:paraId="61F33C70" w14:textId="77777777" w:rsidR="00B26A97" w:rsidRPr="00D57A48" w:rsidRDefault="00B26A97" w:rsidP="00B26A97">
      <w:pPr>
        <w:pStyle w:val="ColorfulShading-Accent31"/>
        <w:numPr>
          <w:ilvl w:val="0"/>
          <w:numId w:val="34"/>
        </w:numPr>
        <w:ind w:left="1440"/>
        <w:rPr>
          <w:rFonts w:ascii="Times New Roman" w:hAnsi="Times New Roman"/>
          <w:sz w:val="24"/>
          <w:szCs w:val="24"/>
        </w:rPr>
      </w:pPr>
      <w:r w:rsidRPr="00D57A48">
        <w:rPr>
          <w:rFonts w:ascii="Times New Roman" w:hAnsi="Times New Roman"/>
          <w:sz w:val="24"/>
          <w:szCs w:val="24"/>
        </w:rPr>
        <w:t xml:space="preserve">Supplier was “very deceptive” and said they were with “electric company,” CL&amp;P or UI </w:t>
      </w:r>
      <w:r w:rsidR="00615441">
        <w:rPr>
          <w:rFonts w:ascii="Times New Roman" w:hAnsi="Times New Roman"/>
          <w:sz w:val="24"/>
          <w:szCs w:val="24"/>
        </w:rPr>
        <w:t>(</w:t>
      </w:r>
      <w:r w:rsidRPr="009E4F4A">
        <w:rPr>
          <w:rFonts w:ascii="Times New Roman" w:hAnsi="Times New Roman"/>
          <w:i/>
          <w:sz w:val="24"/>
          <w:szCs w:val="24"/>
        </w:rPr>
        <w:t>see, e.g.,</w:t>
      </w:r>
      <w:r w:rsidRPr="00D57A48">
        <w:rPr>
          <w:rFonts w:ascii="Times New Roman" w:hAnsi="Times New Roman"/>
          <w:sz w:val="24"/>
          <w:szCs w:val="24"/>
        </w:rPr>
        <w:t xml:space="preserve"> </w:t>
      </w:r>
      <w:r w:rsidR="00AA52CE">
        <w:rPr>
          <w:rFonts w:ascii="Times New Roman" w:hAnsi="Times New Roman"/>
          <w:sz w:val="24"/>
          <w:szCs w:val="24"/>
        </w:rPr>
        <w:t xml:space="preserve">PDF </w:t>
      </w:r>
      <w:r w:rsidRPr="00D57A48">
        <w:rPr>
          <w:rFonts w:ascii="Times New Roman" w:hAnsi="Times New Roman"/>
          <w:sz w:val="24"/>
          <w:szCs w:val="24"/>
        </w:rPr>
        <w:t>19-38</w:t>
      </w:r>
      <w:r w:rsidR="00615441">
        <w:rPr>
          <w:rFonts w:ascii="Times New Roman" w:hAnsi="Times New Roman"/>
          <w:sz w:val="24"/>
          <w:szCs w:val="24"/>
        </w:rPr>
        <w:t>)</w:t>
      </w:r>
      <w:r w:rsidR="00D57A48" w:rsidRPr="00D57A48">
        <w:rPr>
          <w:rFonts w:ascii="Times New Roman" w:hAnsi="Times New Roman"/>
          <w:sz w:val="24"/>
          <w:szCs w:val="24"/>
        </w:rPr>
        <w:t>.</w:t>
      </w:r>
    </w:p>
    <w:p w14:paraId="4B628621" w14:textId="77777777" w:rsidR="00451CD2" w:rsidRPr="00ED3C72" w:rsidRDefault="00451CD2" w:rsidP="00451CD2">
      <w:pPr>
        <w:pStyle w:val="ColorfulShading-Accent31"/>
        <w:ind w:left="1440"/>
        <w:rPr>
          <w:rFonts w:ascii="Times New Roman" w:hAnsi="Times New Roman"/>
          <w:sz w:val="24"/>
          <w:szCs w:val="24"/>
        </w:rPr>
      </w:pPr>
    </w:p>
    <w:p w14:paraId="1DC079FB" w14:textId="77777777" w:rsidR="00B26A97" w:rsidRPr="00B26A97" w:rsidRDefault="007858E0" w:rsidP="00B26A97">
      <w:pPr>
        <w:pStyle w:val="ColorfulShading-Accent31"/>
        <w:rPr>
          <w:rFonts w:ascii="Times New Roman" w:hAnsi="Times New Roman"/>
          <w:i/>
          <w:sz w:val="24"/>
          <w:szCs w:val="24"/>
        </w:rPr>
      </w:pPr>
      <w:r>
        <w:rPr>
          <w:rFonts w:ascii="Times New Roman" w:hAnsi="Times New Roman"/>
          <w:i/>
          <w:sz w:val="24"/>
          <w:szCs w:val="24"/>
        </w:rPr>
        <w:t>Telemarketing and door-to-door sales abuses:</w:t>
      </w:r>
    </w:p>
    <w:p w14:paraId="7C144B6D" w14:textId="77777777" w:rsidR="00B26A97" w:rsidRDefault="00B26A97" w:rsidP="00B26A97">
      <w:pPr>
        <w:pStyle w:val="ColorfulShading-Accent31"/>
        <w:numPr>
          <w:ilvl w:val="0"/>
          <w:numId w:val="34"/>
        </w:numPr>
        <w:ind w:left="1440"/>
        <w:rPr>
          <w:rFonts w:ascii="Times New Roman" w:hAnsi="Times New Roman"/>
          <w:sz w:val="24"/>
          <w:szCs w:val="24"/>
        </w:rPr>
      </w:pPr>
      <w:r>
        <w:rPr>
          <w:rFonts w:ascii="Times New Roman" w:hAnsi="Times New Roman"/>
          <w:sz w:val="24"/>
          <w:szCs w:val="24"/>
        </w:rPr>
        <w:t xml:space="preserve"> Suppliers repeatedly call </w:t>
      </w:r>
      <w:r w:rsidR="00B769EB">
        <w:rPr>
          <w:rFonts w:ascii="Times New Roman" w:hAnsi="Times New Roman"/>
          <w:sz w:val="24"/>
          <w:szCs w:val="24"/>
        </w:rPr>
        <w:t xml:space="preserve">consumers </w:t>
      </w:r>
      <w:r>
        <w:rPr>
          <w:rFonts w:ascii="Times New Roman" w:hAnsi="Times New Roman"/>
          <w:sz w:val="24"/>
          <w:szCs w:val="24"/>
        </w:rPr>
        <w:t>even when they ask not to be called – the calling stops only when customers complain to PURA.</w:t>
      </w:r>
    </w:p>
    <w:p w14:paraId="319E8C1C" w14:textId="77777777" w:rsidR="007858E0" w:rsidRDefault="007858E0" w:rsidP="00B26A97">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Customer is asked in a door-to-door solicitation to show copy of his/her electric bill, which</w:t>
      </w:r>
      <w:r w:rsidR="00A93FF2">
        <w:rPr>
          <w:rFonts w:ascii="Times New Roman" w:hAnsi="Times New Roman"/>
          <w:sz w:val="24"/>
          <w:szCs w:val="24"/>
        </w:rPr>
        <w:t xml:space="preserve"> Supplier</w:t>
      </w:r>
      <w:r w:rsidRPr="00ED3C72">
        <w:rPr>
          <w:rFonts w:ascii="Times New Roman" w:hAnsi="Times New Roman"/>
          <w:sz w:val="24"/>
          <w:szCs w:val="24"/>
        </w:rPr>
        <w:t xml:space="preserve"> then </w:t>
      </w:r>
      <w:r>
        <w:rPr>
          <w:rFonts w:ascii="Times New Roman" w:hAnsi="Times New Roman"/>
          <w:sz w:val="24"/>
          <w:szCs w:val="24"/>
        </w:rPr>
        <w:t xml:space="preserve">misappropriates </w:t>
      </w:r>
      <w:r w:rsidRPr="00ED3C72">
        <w:rPr>
          <w:rFonts w:ascii="Times New Roman" w:hAnsi="Times New Roman"/>
          <w:sz w:val="24"/>
          <w:szCs w:val="24"/>
        </w:rPr>
        <w:t>as authorization to switch.</w:t>
      </w:r>
    </w:p>
    <w:p w14:paraId="2A71DD39" w14:textId="77777777" w:rsidR="00D97339" w:rsidRPr="00ED3C72" w:rsidRDefault="00D97339" w:rsidP="00D97339">
      <w:pPr>
        <w:pStyle w:val="ColorfulShading-Accent31"/>
        <w:numPr>
          <w:ilvl w:val="0"/>
          <w:numId w:val="34"/>
        </w:numPr>
        <w:ind w:left="1440"/>
        <w:rPr>
          <w:rFonts w:ascii="Times New Roman" w:hAnsi="Times New Roman"/>
          <w:sz w:val="24"/>
          <w:szCs w:val="24"/>
        </w:rPr>
      </w:pPr>
      <w:r w:rsidRPr="00ED3C72">
        <w:rPr>
          <w:rFonts w:ascii="Times New Roman" w:hAnsi="Times New Roman"/>
          <w:sz w:val="24"/>
          <w:szCs w:val="24"/>
        </w:rPr>
        <w:t>Failure to provide copy of third-party verification to customer upon request.</w:t>
      </w:r>
    </w:p>
    <w:p w14:paraId="6D409F62" w14:textId="77777777" w:rsidR="003D2F70" w:rsidRPr="003D620A" w:rsidRDefault="003D2F70" w:rsidP="003D2F70">
      <w:pPr>
        <w:spacing w:line="480" w:lineRule="auto"/>
        <w:ind w:left="720" w:hanging="720"/>
        <w:rPr>
          <w:b/>
        </w:rPr>
      </w:pPr>
      <w:r w:rsidRPr="003D620A">
        <w:rPr>
          <w:b/>
        </w:rPr>
        <w:t xml:space="preserve">Q: </w:t>
      </w:r>
      <w:r w:rsidRPr="003D620A">
        <w:rPr>
          <w:b/>
        </w:rPr>
        <w:tab/>
        <w:t>Did some consumers express frustration that these practices were occurring in a seemingly regulated industry?</w:t>
      </w:r>
    </w:p>
    <w:p w14:paraId="632F5DF9" w14:textId="77777777" w:rsidR="003D2F70" w:rsidRPr="00402810" w:rsidRDefault="003D2F70" w:rsidP="003D2F70">
      <w:pPr>
        <w:spacing w:line="480" w:lineRule="auto"/>
        <w:ind w:left="720" w:hanging="720"/>
      </w:pPr>
      <w:r w:rsidRPr="00402810">
        <w:t>A:</w:t>
      </w:r>
      <w:r w:rsidRPr="00402810">
        <w:tab/>
        <w:t>Yes.  A number of consumers said that they were surprised that PURA would “allow” such abuses to occur.  One person complained, “PURA is allowing these people to be crooks.”</w:t>
      </w:r>
      <w:r w:rsidR="00351640">
        <w:rPr>
          <w:rStyle w:val="FootnoteReference"/>
        </w:rPr>
        <w:footnoteReference w:id="27"/>
      </w:r>
    </w:p>
    <w:p w14:paraId="2B34FE89" w14:textId="77777777" w:rsidR="003D2F70" w:rsidRPr="003D620A" w:rsidRDefault="003D2F70" w:rsidP="003D2F70">
      <w:pPr>
        <w:spacing w:line="480" w:lineRule="auto"/>
        <w:ind w:left="720" w:hanging="720"/>
        <w:rPr>
          <w:b/>
        </w:rPr>
      </w:pPr>
      <w:r w:rsidRPr="003D620A">
        <w:rPr>
          <w:b/>
        </w:rPr>
        <w:t xml:space="preserve">Q: </w:t>
      </w:r>
      <w:r w:rsidRPr="003D620A">
        <w:rPr>
          <w:b/>
        </w:rPr>
        <w:tab/>
        <w:t>W</w:t>
      </w:r>
      <w:r w:rsidR="00351640">
        <w:rPr>
          <w:b/>
        </w:rPr>
        <w:t>ere</w:t>
      </w:r>
      <w:r w:rsidRPr="003D620A">
        <w:rPr>
          <w:b/>
        </w:rPr>
        <w:t xml:space="preserve"> there any other categor</w:t>
      </w:r>
      <w:r w:rsidR="00351640">
        <w:rPr>
          <w:b/>
        </w:rPr>
        <w:t>ies</w:t>
      </w:r>
      <w:r w:rsidRPr="003D620A">
        <w:rPr>
          <w:b/>
        </w:rPr>
        <w:t xml:space="preserve"> about which certain customers complained to PURA that </w:t>
      </w:r>
      <w:r w:rsidR="00351640">
        <w:rPr>
          <w:b/>
        </w:rPr>
        <w:t>are</w:t>
      </w:r>
      <w:r w:rsidR="00B4204D">
        <w:rPr>
          <w:b/>
        </w:rPr>
        <w:t xml:space="preserve"> </w:t>
      </w:r>
      <w:r w:rsidRPr="003D620A">
        <w:rPr>
          <w:b/>
        </w:rPr>
        <w:t>n</w:t>
      </w:r>
      <w:r w:rsidR="00B4204D">
        <w:rPr>
          <w:b/>
        </w:rPr>
        <w:t>o</w:t>
      </w:r>
      <w:r w:rsidRPr="003D620A">
        <w:rPr>
          <w:b/>
        </w:rPr>
        <w:t>t reflected above?</w:t>
      </w:r>
    </w:p>
    <w:p w14:paraId="2B15A8E2" w14:textId="77777777" w:rsidR="003D2F70" w:rsidRPr="00402810" w:rsidRDefault="003D2F70" w:rsidP="003D2F70">
      <w:pPr>
        <w:spacing w:line="480" w:lineRule="auto"/>
        <w:ind w:left="720" w:hanging="720"/>
      </w:pPr>
      <w:r w:rsidRPr="00402810">
        <w:t>A:</w:t>
      </w:r>
      <w:r w:rsidRPr="00402810">
        <w:tab/>
        <w:t xml:space="preserve">Yes.  </w:t>
      </w:r>
      <w:r w:rsidR="00351640">
        <w:t>Many customers complained that they had been promised gift or restaurant cards that they never received.  Also, s</w:t>
      </w:r>
      <w:r w:rsidRPr="00402810">
        <w:t>everal customers complained after their chosen</w:t>
      </w:r>
      <w:r w:rsidR="00A93FF2">
        <w:t xml:space="preserve"> Supplier</w:t>
      </w:r>
      <w:r w:rsidRPr="00402810">
        <w:t xml:space="preserve"> (ResComm) was acquired by another company (PPU).  Concerns included the transfer of their information (credit card, etc.) to another</w:t>
      </w:r>
      <w:r w:rsidR="00A93FF2">
        <w:t xml:space="preserve"> Supplier</w:t>
      </w:r>
      <w:r w:rsidRPr="00402810">
        <w:t xml:space="preserve"> that</w:t>
      </w:r>
      <w:r w:rsidR="00351640">
        <w:t xml:space="preserve"> they did not actively choose. </w:t>
      </w:r>
    </w:p>
    <w:p w14:paraId="78FCBB24" w14:textId="77777777" w:rsidR="003D2F70" w:rsidRPr="003D620A" w:rsidRDefault="003D2F70" w:rsidP="003D2F70">
      <w:pPr>
        <w:spacing w:line="480" w:lineRule="auto"/>
        <w:ind w:left="720" w:hanging="720"/>
        <w:rPr>
          <w:b/>
        </w:rPr>
      </w:pPr>
      <w:r w:rsidRPr="003D620A">
        <w:rPr>
          <w:b/>
        </w:rPr>
        <w:t>Q.</w:t>
      </w:r>
      <w:r w:rsidRPr="003D620A">
        <w:rPr>
          <w:b/>
        </w:rPr>
        <w:tab/>
        <w:t>Even though these customers were</w:t>
      </w:r>
      <w:r w:rsidR="00B4204D">
        <w:rPr>
          <w:b/>
        </w:rPr>
        <w:t xml:space="preserve"> </w:t>
      </w:r>
      <w:r w:rsidRPr="003D620A">
        <w:rPr>
          <w:b/>
        </w:rPr>
        <w:t>n</w:t>
      </w:r>
      <w:r w:rsidR="00B4204D">
        <w:rPr>
          <w:b/>
        </w:rPr>
        <w:t>o</w:t>
      </w:r>
      <w:r w:rsidRPr="003D620A">
        <w:rPr>
          <w:b/>
        </w:rPr>
        <w:t>t “slammed,” should they be given the opportunity to choose a new</w:t>
      </w:r>
      <w:r w:rsidR="00A93FF2">
        <w:rPr>
          <w:b/>
        </w:rPr>
        <w:t xml:space="preserve"> Supplier</w:t>
      </w:r>
      <w:r w:rsidRPr="003D620A">
        <w:rPr>
          <w:b/>
        </w:rPr>
        <w:t xml:space="preserve"> under these circumstances, without paying </w:t>
      </w:r>
      <w:r w:rsidR="003D620A">
        <w:rPr>
          <w:b/>
        </w:rPr>
        <w:t xml:space="preserve">a </w:t>
      </w:r>
      <w:r w:rsidRPr="003D620A">
        <w:rPr>
          <w:b/>
        </w:rPr>
        <w:t>termination penalty</w:t>
      </w:r>
      <w:r w:rsidR="00351640">
        <w:rPr>
          <w:b/>
        </w:rPr>
        <w:t>?</w:t>
      </w:r>
    </w:p>
    <w:p w14:paraId="12A45A81" w14:textId="77777777" w:rsidR="003D2F70" w:rsidRPr="00ED3C72" w:rsidRDefault="003D2F70" w:rsidP="003D2F70">
      <w:pPr>
        <w:spacing w:line="480" w:lineRule="auto"/>
        <w:ind w:left="720" w:hanging="720"/>
      </w:pPr>
      <w:r w:rsidRPr="00402810">
        <w:t>A.</w:t>
      </w:r>
      <w:r w:rsidRPr="00402810">
        <w:tab/>
      </w:r>
      <w:r w:rsidR="00351640">
        <w:t xml:space="preserve">Yes.  </w:t>
      </w:r>
      <w:r w:rsidRPr="00402810">
        <w:t>That would be a fair and reasonable approach.</w:t>
      </w:r>
    </w:p>
    <w:p w14:paraId="4630B53E" w14:textId="77777777" w:rsidR="0023697E" w:rsidRDefault="0023697E" w:rsidP="0023697E">
      <w:pPr>
        <w:spacing w:line="480" w:lineRule="auto"/>
        <w:ind w:left="720" w:hanging="720"/>
        <w:rPr>
          <w:b/>
        </w:rPr>
      </w:pPr>
      <w:r>
        <w:rPr>
          <w:b/>
        </w:rPr>
        <w:t>Q:</w:t>
      </w:r>
      <w:r>
        <w:rPr>
          <w:b/>
        </w:rPr>
        <w:tab/>
        <w:t xml:space="preserve">Did you attempt to tally complaints based on categories of your </w:t>
      </w:r>
      <w:r w:rsidR="002D227D">
        <w:rPr>
          <w:b/>
        </w:rPr>
        <w:t xml:space="preserve">own </w:t>
      </w:r>
      <w:r>
        <w:rPr>
          <w:b/>
        </w:rPr>
        <w:t xml:space="preserve">design? </w:t>
      </w:r>
    </w:p>
    <w:p w14:paraId="55A5F612" w14:textId="77777777" w:rsidR="0023697E" w:rsidRDefault="0023697E" w:rsidP="00D71B0D">
      <w:pPr>
        <w:spacing w:line="480" w:lineRule="auto"/>
        <w:ind w:left="720" w:hanging="720"/>
      </w:pPr>
      <w:r>
        <w:t>A:</w:t>
      </w:r>
      <w:r>
        <w:tab/>
        <w:t xml:space="preserve">Yes.  </w:t>
      </w:r>
      <w:r w:rsidR="006A085B">
        <w:t>Based on the customer’s description,</w:t>
      </w:r>
      <w:r w:rsidR="008B6DBC">
        <w:t xml:space="preserve"> we </w:t>
      </w:r>
      <w:r w:rsidR="00D71B0D">
        <w:t>identified three broad categories of reasons:</w:t>
      </w:r>
    </w:p>
    <w:p w14:paraId="5ADDF59E" w14:textId="77777777" w:rsidR="00BE3930" w:rsidRDefault="00D71B0D" w:rsidP="00274C2F">
      <w:pPr>
        <w:numPr>
          <w:ilvl w:val="0"/>
          <w:numId w:val="36"/>
        </w:numPr>
        <w:spacing w:line="480" w:lineRule="auto"/>
        <w:ind w:left="1440" w:hanging="720"/>
      </w:pPr>
      <w:r w:rsidRPr="00113FC9">
        <w:rPr>
          <w:b/>
        </w:rPr>
        <w:t>Rates.</w:t>
      </w:r>
      <w:r>
        <w:t xml:space="preserve">  Under this category, there are two reasons that surface repeatedly: (1) rates are extremely high; and (2)</w:t>
      </w:r>
      <w:r w:rsidR="004202BE">
        <w:t xml:space="preserve"> customers were told the rates would be fixed for some amount of time but they increased.</w:t>
      </w:r>
      <w:r w:rsidR="009865E1">
        <w:t xml:space="preserve">  In the latter instance, consumers felt misled, misinformed, or inadequately informed.  In the first instance, consumers commented on the “bill shock” they experienced and were typically outraged to learn that instead of saving money on their electricity bills, they were paying more than if they had stayed with CL&amp;P or UI.</w:t>
      </w:r>
    </w:p>
    <w:p w14:paraId="10248984" w14:textId="77777777" w:rsidR="004202BE" w:rsidRPr="00274C2F" w:rsidRDefault="004202BE" w:rsidP="00274C2F">
      <w:pPr>
        <w:numPr>
          <w:ilvl w:val="0"/>
          <w:numId w:val="36"/>
        </w:numPr>
        <w:spacing w:line="480" w:lineRule="auto"/>
        <w:ind w:left="1440" w:hanging="720"/>
      </w:pPr>
      <w:r w:rsidRPr="00274C2F">
        <w:rPr>
          <w:b/>
        </w:rPr>
        <w:t>Aggressive and misleading sales practices</w:t>
      </w:r>
      <w:r w:rsidR="00113FC9" w:rsidRPr="00274C2F">
        <w:rPr>
          <w:b/>
        </w:rPr>
        <w:t>.</w:t>
      </w:r>
      <w:r w:rsidR="00BE3930" w:rsidRPr="00274C2F">
        <w:rPr>
          <w:b/>
        </w:rPr>
        <w:t xml:space="preserve"> </w:t>
      </w:r>
      <w:r w:rsidR="008B6DBC">
        <w:rPr>
          <w:b/>
        </w:rPr>
        <w:t xml:space="preserve"> </w:t>
      </w:r>
      <w:r w:rsidR="00C810D2">
        <w:t>W</w:t>
      </w:r>
      <w:r w:rsidR="008B6DBC" w:rsidRPr="009E4F4A">
        <w:t>e</w:t>
      </w:r>
      <w:r w:rsidR="008B6DBC">
        <w:rPr>
          <w:b/>
        </w:rPr>
        <w:t xml:space="preserve"> </w:t>
      </w:r>
      <w:r w:rsidR="00BE3930">
        <w:t>observed that consumers complained to PURA about the following sales tactics:</w:t>
      </w:r>
    </w:p>
    <w:p w14:paraId="64BC3BA2" w14:textId="77777777" w:rsidR="00BE3930" w:rsidRPr="00BE3930" w:rsidRDefault="00BE3930" w:rsidP="00274C2F">
      <w:pPr>
        <w:numPr>
          <w:ilvl w:val="2"/>
          <w:numId w:val="36"/>
        </w:numPr>
        <w:spacing w:line="480" w:lineRule="auto"/>
        <w:rPr>
          <w:b/>
        </w:rPr>
      </w:pPr>
      <w:r>
        <w:t>Phone harassment – sales representatives would repeatedly call consumers to market the</w:t>
      </w:r>
      <w:r w:rsidR="00A93FF2">
        <w:t xml:space="preserve"> Supplier</w:t>
      </w:r>
      <w:r>
        <w:t>s’ services long after the customer had asked them to desist.</w:t>
      </w:r>
      <w:r w:rsidR="00B4695C">
        <w:rPr>
          <w:rStyle w:val="FootnoteReference"/>
        </w:rPr>
        <w:footnoteReference w:id="28"/>
      </w:r>
    </w:p>
    <w:p w14:paraId="244895E9" w14:textId="77777777" w:rsidR="00BE3930" w:rsidRPr="00BE3930" w:rsidRDefault="00BE3930" w:rsidP="00274C2F">
      <w:pPr>
        <w:numPr>
          <w:ilvl w:val="2"/>
          <w:numId w:val="36"/>
        </w:numPr>
        <w:spacing w:line="480" w:lineRule="auto"/>
        <w:rPr>
          <w:b/>
        </w:rPr>
      </w:pPr>
      <w:r>
        <w:t>In a few instances</w:t>
      </w:r>
      <w:r w:rsidR="001A0411">
        <w:t>,</w:t>
      </w:r>
      <w:r>
        <w:t xml:space="preserve"> consumers complained of being badgered by door-to-door sales representatives, and in one instance a consumer remarked that she should have called the police.</w:t>
      </w:r>
      <w:r w:rsidR="00FA285A">
        <w:rPr>
          <w:rStyle w:val="FootnoteReference"/>
        </w:rPr>
        <w:footnoteReference w:id="29"/>
      </w:r>
      <w:r w:rsidR="00FA285A">
        <w:t xml:space="preserve"> </w:t>
      </w:r>
    </w:p>
    <w:p w14:paraId="0FABE03E" w14:textId="77777777" w:rsidR="00BE3930" w:rsidRPr="00BE3930" w:rsidRDefault="00BE3930" w:rsidP="00274C2F">
      <w:pPr>
        <w:numPr>
          <w:ilvl w:val="2"/>
          <w:numId w:val="36"/>
        </w:numPr>
        <w:spacing w:line="480" w:lineRule="auto"/>
        <w:rPr>
          <w:b/>
        </w:rPr>
      </w:pPr>
      <w:r>
        <w:t xml:space="preserve">Consumers complained that they were told they </w:t>
      </w:r>
      <w:r>
        <w:rPr>
          <w:i/>
        </w:rPr>
        <w:t xml:space="preserve">must </w:t>
      </w:r>
      <w:r>
        <w:t>switch from the EDC</w:t>
      </w:r>
      <w:r w:rsidR="008232F4">
        <w:t xml:space="preserve"> </w:t>
      </w:r>
      <w:r w:rsidR="00E33177">
        <w:t>Standard Offer</w:t>
      </w:r>
      <w:r>
        <w:t>.</w:t>
      </w:r>
    </w:p>
    <w:p w14:paraId="4FC660C5" w14:textId="77777777" w:rsidR="00BE3930" w:rsidRPr="00C01057" w:rsidRDefault="00BE3930" w:rsidP="00274C2F">
      <w:pPr>
        <w:numPr>
          <w:ilvl w:val="2"/>
          <w:numId w:val="36"/>
        </w:numPr>
        <w:spacing w:line="480" w:lineRule="auto"/>
        <w:rPr>
          <w:b/>
        </w:rPr>
      </w:pPr>
      <w:r>
        <w:t>Consumers complained that sales representatives either explicitly stated or implied that the sales personnel were representing either CL&amp;P or UI</w:t>
      </w:r>
      <w:r w:rsidR="00C01057">
        <w:t>.</w:t>
      </w:r>
    </w:p>
    <w:p w14:paraId="087B52E4" w14:textId="77777777" w:rsidR="00C01057" w:rsidRPr="00C01057" w:rsidRDefault="00C01057" w:rsidP="00274C2F">
      <w:pPr>
        <w:numPr>
          <w:ilvl w:val="2"/>
          <w:numId w:val="36"/>
        </w:numPr>
        <w:spacing w:line="480" w:lineRule="auto"/>
        <w:rPr>
          <w:b/>
        </w:rPr>
      </w:pPr>
      <w:r>
        <w:t>In at least one instance</w:t>
      </w:r>
      <w:r w:rsidR="001A0411">
        <w:t>,</w:t>
      </w:r>
      <w:r>
        <w:t xml:space="preserve"> a consumer complained that a</w:t>
      </w:r>
      <w:r w:rsidR="00A93FF2">
        <w:t xml:space="preserve"> Supplier</w:t>
      </w:r>
      <w:r>
        <w:t xml:space="preserve"> had forged his signature.</w:t>
      </w:r>
    </w:p>
    <w:p w14:paraId="7E27A8D3" w14:textId="77777777" w:rsidR="009B3D66" w:rsidRPr="009B3D66" w:rsidRDefault="00C01057" w:rsidP="009B3D66">
      <w:pPr>
        <w:numPr>
          <w:ilvl w:val="2"/>
          <w:numId w:val="36"/>
        </w:numPr>
        <w:spacing w:line="480" w:lineRule="auto"/>
        <w:rPr>
          <w:b/>
        </w:rPr>
      </w:pPr>
      <w:r>
        <w:t xml:space="preserve">In many instances, consumers complained that they had been slammed, </w:t>
      </w:r>
      <w:r w:rsidRPr="009E4F4A">
        <w:rPr>
          <w:i/>
        </w:rPr>
        <w:t>i.e.</w:t>
      </w:r>
      <w:r>
        <w:t>, switched to the</w:t>
      </w:r>
      <w:r w:rsidR="00A93FF2">
        <w:t xml:space="preserve"> Supplier</w:t>
      </w:r>
      <w:r>
        <w:t xml:space="preserve"> without the consumers’ consent.</w:t>
      </w:r>
    </w:p>
    <w:p w14:paraId="5284A91A" w14:textId="77777777" w:rsidR="00C01057" w:rsidRPr="00C01057" w:rsidRDefault="00C01057" w:rsidP="009B3D66">
      <w:pPr>
        <w:numPr>
          <w:ilvl w:val="0"/>
          <w:numId w:val="36"/>
        </w:numPr>
        <w:spacing w:line="480" w:lineRule="auto"/>
        <w:ind w:left="1440" w:hanging="720"/>
        <w:rPr>
          <w:b/>
        </w:rPr>
      </w:pPr>
      <w:r>
        <w:rPr>
          <w:b/>
        </w:rPr>
        <w:t>Quality of Service.</w:t>
      </w:r>
      <w:r>
        <w:t xml:space="preserve">  This category generally encompasses complaints that concern the way in which</w:t>
      </w:r>
      <w:r w:rsidR="00A93FF2">
        <w:t xml:space="preserve"> Supplier</w:t>
      </w:r>
      <w:r>
        <w:t>s make themselves available (or fail to do so) when consumers seek to reach the</w:t>
      </w:r>
      <w:r w:rsidR="00A93FF2">
        <w:t xml:space="preserve"> Supplier</w:t>
      </w:r>
      <w:r>
        <w:t>s</w:t>
      </w:r>
      <w:r w:rsidR="002D227D">
        <w:t xml:space="preserve"> with questions, to seek promised rebate cards, or to terminate service</w:t>
      </w:r>
      <w:r>
        <w:t>.</w:t>
      </w:r>
      <w:r w:rsidR="002D227D">
        <w:t xml:space="preserve">  Among the concerns that consumers raise are:</w:t>
      </w:r>
    </w:p>
    <w:p w14:paraId="46582D6D" w14:textId="77777777" w:rsidR="00C01057" w:rsidRPr="006D4943" w:rsidRDefault="006D4943" w:rsidP="009B3D66">
      <w:pPr>
        <w:numPr>
          <w:ilvl w:val="2"/>
          <w:numId w:val="36"/>
        </w:numPr>
        <w:spacing w:line="480" w:lineRule="auto"/>
        <w:rPr>
          <w:b/>
        </w:rPr>
      </w:pPr>
      <w:r>
        <w:t>The 800 number is not in service.</w:t>
      </w:r>
    </w:p>
    <w:p w14:paraId="3FD3866A" w14:textId="77777777" w:rsidR="006D4943" w:rsidRPr="006D4943" w:rsidRDefault="006D4943" w:rsidP="009B3D66">
      <w:pPr>
        <w:numPr>
          <w:ilvl w:val="2"/>
          <w:numId w:val="36"/>
        </w:numPr>
        <w:spacing w:line="480" w:lineRule="auto"/>
        <w:rPr>
          <w:b/>
        </w:rPr>
      </w:pPr>
      <w:r>
        <w:t>The consumer must wait a long time (</w:t>
      </w:r>
      <w:r w:rsidRPr="009E4F4A">
        <w:rPr>
          <w:i/>
        </w:rPr>
        <w:t>e.g.</w:t>
      </w:r>
      <w:r>
        <w:t>, 30 minutes, 45 minutes, etc.) in a telephone queue.</w:t>
      </w:r>
    </w:p>
    <w:p w14:paraId="30D865DA" w14:textId="77777777" w:rsidR="006D4943" w:rsidRPr="006D4943" w:rsidRDefault="006D4943" w:rsidP="009B3D66">
      <w:pPr>
        <w:numPr>
          <w:ilvl w:val="2"/>
          <w:numId w:val="36"/>
        </w:numPr>
        <w:spacing w:line="480" w:lineRule="auto"/>
        <w:rPr>
          <w:b/>
        </w:rPr>
      </w:pPr>
      <w:r>
        <w:t>The customer’s call is turned over to an answering machine.</w:t>
      </w:r>
    </w:p>
    <w:p w14:paraId="78C831C3" w14:textId="77777777" w:rsidR="006D4943" w:rsidRPr="006D4943" w:rsidRDefault="006D4943" w:rsidP="009B3D66">
      <w:pPr>
        <w:numPr>
          <w:ilvl w:val="2"/>
          <w:numId w:val="36"/>
        </w:numPr>
        <w:spacing w:line="480" w:lineRule="auto"/>
        <w:rPr>
          <w:b/>
        </w:rPr>
      </w:pPr>
      <w:r>
        <w:t>The customer cannot reach the company.</w:t>
      </w:r>
    </w:p>
    <w:p w14:paraId="3329F050" w14:textId="77777777" w:rsidR="006D4943" w:rsidRPr="006D4943" w:rsidRDefault="006D4943" w:rsidP="009B3D66">
      <w:pPr>
        <w:numPr>
          <w:ilvl w:val="2"/>
          <w:numId w:val="36"/>
        </w:numPr>
        <w:spacing w:line="480" w:lineRule="auto"/>
        <w:rPr>
          <w:b/>
        </w:rPr>
      </w:pPr>
      <w:r>
        <w:t>The company fails to answer the customer’s call.</w:t>
      </w:r>
    </w:p>
    <w:p w14:paraId="6AF50B3F" w14:textId="77777777" w:rsidR="006D4943" w:rsidRPr="00113FC9" w:rsidRDefault="006D4943" w:rsidP="009B3D66">
      <w:pPr>
        <w:numPr>
          <w:ilvl w:val="2"/>
          <w:numId w:val="36"/>
        </w:numPr>
        <w:spacing w:line="480" w:lineRule="auto"/>
        <w:rPr>
          <w:b/>
        </w:rPr>
      </w:pPr>
      <w:r>
        <w:t>The company is rude to the customer.</w:t>
      </w:r>
    </w:p>
    <w:p w14:paraId="55BD5617" w14:textId="77777777" w:rsidR="00D57A48" w:rsidRDefault="00D57A48" w:rsidP="00D57A48">
      <w:pPr>
        <w:spacing w:line="480" w:lineRule="auto"/>
        <w:rPr>
          <w:b/>
        </w:rPr>
      </w:pPr>
      <w:r>
        <w:rPr>
          <w:b/>
        </w:rPr>
        <w:t>Q:</w:t>
      </w:r>
      <w:r>
        <w:rPr>
          <w:b/>
        </w:rPr>
        <w:tab/>
        <w:t>Are there any particular consumer complaints that stand out?</w:t>
      </w:r>
    </w:p>
    <w:p w14:paraId="5B9C80E7" w14:textId="77777777" w:rsidR="002D227D" w:rsidRPr="002D227D" w:rsidRDefault="00D57A48" w:rsidP="0023697E">
      <w:pPr>
        <w:spacing w:line="480" w:lineRule="auto"/>
        <w:ind w:left="720" w:hanging="720"/>
      </w:pPr>
      <w:r>
        <w:t>A:</w:t>
      </w:r>
      <w:r>
        <w:tab/>
        <w:t>There are many that s</w:t>
      </w:r>
      <w:r w:rsidR="002F2E9F">
        <w:t>tand out for diverse reasons.  We</w:t>
      </w:r>
      <w:r>
        <w:t xml:space="preserve"> h</w:t>
      </w:r>
      <w:r w:rsidR="002F2E9F">
        <w:t>ave prepared a document, which we</w:t>
      </w:r>
      <w:r>
        <w:t xml:space="preserve"> include as Exhibit </w:t>
      </w:r>
      <w:r w:rsidR="00627691">
        <w:t>3</w:t>
      </w:r>
      <w:r>
        <w:t xml:space="preserve"> to </w:t>
      </w:r>
      <w:r w:rsidR="00AD6779">
        <w:t xml:space="preserve">our </w:t>
      </w:r>
      <w:r>
        <w:t xml:space="preserve">testimony, with excerpts from actual complaint forms to illustrate consumer </w:t>
      </w:r>
      <w:r w:rsidR="002F2E9F">
        <w:t>harm and consumer frustrations.  We</w:t>
      </w:r>
      <w:r w:rsidR="002D227D">
        <w:t xml:space="preserve"> have grouped them by </w:t>
      </w:r>
      <w:r w:rsidR="00687B20">
        <w:t xml:space="preserve">general categories of </w:t>
      </w:r>
      <w:r w:rsidR="002D227D">
        <w:t>reason</w:t>
      </w:r>
      <w:r w:rsidR="00687B20">
        <w:t>s for the complaints</w:t>
      </w:r>
      <w:r w:rsidR="002D227D">
        <w:t>.</w:t>
      </w:r>
      <w:r w:rsidR="00627691">
        <w:t xml:space="preserve">  </w:t>
      </w:r>
    </w:p>
    <w:p w14:paraId="1E0A01E0" w14:textId="77777777" w:rsidR="0023697E" w:rsidRDefault="0023697E" w:rsidP="0023697E">
      <w:pPr>
        <w:spacing w:line="480" w:lineRule="auto"/>
        <w:ind w:left="720" w:hanging="720"/>
        <w:rPr>
          <w:b/>
        </w:rPr>
      </w:pPr>
      <w:r>
        <w:rPr>
          <w:b/>
        </w:rPr>
        <w:t>Q:</w:t>
      </w:r>
      <w:r>
        <w:rPr>
          <w:b/>
        </w:rPr>
        <w:tab/>
        <w:t xml:space="preserve">When you classified complaints, </w:t>
      </w:r>
      <w:r w:rsidR="00D52566">
        <w:rPr>
          <w:b/>
        </w:rPr>
        <w:t xml:space="preserve">could </w:t>
      </w:r>
      <w:r>
        <w:rPr>
          <w:b/>
        </w:rPr>
        <w:t xml:space="preserve">a single complaint </w:t>
      </w:r>
      <w:r w:rsidR="00D52566">
        <w:rPr>
          <w:b/>
        </w:rPr>
        <w:t xml:space="preserve">be counted </w:t>
      </w:r>
      <w:r>
        <w:rPr>
          <w:b/>
        </w:rPr>
        <w:t>in more than one of your categories of reasons?</w:t>
      </w:r>
    </w:p>
    <w:p w14:paraId="00F6ADB2" w14:textId="77777777" w:rsidR="002D227D" w:rsidRDefault="0023697E" w:rsidP="002D227D">
      <w:pPr>
        <w:spacing w:line="480" w:lineRule="auto"/>
        <w:ind w:left="720" w:hanging="720"/>
      </w:pPr>
      <w:r>
        <w:t>A:</w:t>
      </w:r>
      <w:r>
        <w:tab/>
        <w:t xml:space="preserve">Yes.  </w:t>
      </w:r>
      <w:r w:rsidR="002D227D">
        <w:t xml:space="preserve">For many of the </w:t>
      </w:r>
      <w:r w:rsidR="00686A56">
        <w:t xml:space="preserve">818 </w:t>
      </w:r>
      <w:r w:rsidR="002D227D">
        <w:t xml:space="preserve">unique complaints, a </w:t>
      </w:r>
      <w:r w:rsidR="005E0F9B" w:rsidRPr="002F2E09">
        <w:t>complaint spans several categories</w:t>
      </w:r>
      <w:r w:rsidR="00B73D5D">
        <w:t xml:space="preserve"> of consumer harm</w:t>
      </w:r>
      <w:r w:rsidR="005E0F9B" w:rsidRPr="002F2E09">
        <w:t>: for example, a customer is slammed</w:t>
      </w:r>
      <w:r w:rsidR="002D227D">
        <w:t>;</w:t>
      </w:r>
      <w:r w:rsidR="005E0F9B" w:rsidRPr="002F2E09">
        <w:t xml:space="preserve"> then calls the </w:t>
      </w:r>
      <w:r w:rsidR="00DE7A20">
        <w:t xml:space="preserve">Supplier </w:t>
      </w:r>
      <w:r w:rsidR="005E0F9B" w:rsidRPr="002F2E09">
        <w:t>to complain</w:t>
      </w:r>
      <w:r w:rsidR="002D227D">
        <w:t>,</w:t>
      </w:r>
      <w:r>
        <w:t xml:space="preserve"> </w:t>
      </w:r>
      <w:r w:rsidR="005E0F9B" w:rsidRPr="002F2E09">
        <w:t xml:space="preserve">but must wait a long time in a </w:t>
      </w:r>
      <w:r>
        <w:t xml:space="preserve">telephone </w:t>
      </w:r>
      <w:r w:rsidR="005E0F9B" w:rsidRPr="002F2E09">
        <w:t>queue</w:t>
      </w:r>
      <w:r w:rsidR="002D227D">
        <w:t>;</w:t>
      </w:r>
      <w:r w:rsidR="005E0F9B" w:rsidRPr="002F2E09">
        <w:t xml:space="preserve"> at the end of the queue the call </w:t>
      </w:r>
      <w:r>
        <w:t xml:space="preserve">may be </w:t>
      </w:r>
      <w:r w:rsidR="005E0F9B" w:rsidRPr="002F2E09">
        <w:t>turned over to an answering machine</w:t>
      </w:r>
      <w:r w:rsidR="002D227D">
        <w:t xml:space="preserve">; and the </w:t>
      </w:r>
      <w:r w:rsidR="00DE7A20">
        <w:t xml:space="preserve">Supplier </w:t>
      </w:r>
      <w:r>
        <w:t xml:space="preserve">may fail to return the customer’s call.  For </w:t>
      </w:r>
      <w:r w:rsidR="00AD6779">
        <w:t xml:space="preserve">our </w:t>
      </w:r>
      <w:r>
        <w:t xml:space="preserve">purposes, </w:t>
      </w:r>
      <w:r w:rsidR="002F2E9F">
        <w:t>we</w:t>
      </w:r>
      <w:r>
        <w:t xml:space="preserve"> tallied the complaint </w:t>
      </w:r>
      <w:r w:rsidR="005E0F9B" w:rsidRPr="002F2E09">
        <w:t>in all of the following categories: slamming; quality of service – queue; quality of service – answering machine</w:t>
      </w:r>
      <w:r>
        <w:t xml:space="preserve">; </w:t>
      </w:r>
      <w:r w:rsidR="00DE7A20">
        <w:t xml:space="preserve">and </w:t>
      </w:r>
      <w:r>
        <w:t>quality of service – failure to return customer’s call</w:t>
      </w:r>
      <w:r w:rsidR="005E0F9B" w:rsidRPr="002F2E09">
        <w:t xml:space="preserve">.  Also in reviewing cases, </w:t>
      </w:r>
      <w:r w:rsidR="002F2E9F">
        <w:t>we</w:t>
      </w:r>
      <w:r>
        <w:t xml:space="preserve"> </w:t>
      </w:r>
      <w:r w:rsidR="005E0F9B" w:rsidRPr="002F2E09">
        <w:t xml:space="preserve">noticed some instances </w:t>
      </w:r>
      <w:r w:rsidR="00DE7A20">
        <w:t xml:space="preserve">in which </w:t>
      </w:r>
      <w:r w:rsidR="00D52566">
        <w:t xml:space="preserve">the customer’s initial characterization of the problem, and thus the “reason” recorded in the intake form, did not match what the customer subsequently described; in such cases, </w:t>
      </w:r>
      <w:r w:rsidR="002F2E9F">
        <w:t>we</w:t>
      </w:r>
      <w:r w:rsidR="00D52566">
        <w:t xml:space="preserve"> </w:t>
      </w:r>
      <w:r w:rsidR="00860A87">
        <w:t xml:space="preserve">would adjust the classification in </w:t>
      </w:r>
      <w:r w:rsidR="00AD6779">
        <w:t xml:space="preserve">our </w:t>
      </w:r>
      <w:r w:rsidR="00860A87">
        <w:t>own cataloging.</w:t>
      </w:r>
      <w:r w:rsidR="00860A87">
        <w:rPr>
          <w:rStyle w:val="FootnoteReference"/>
        </w:rPr>
        <w:footnoteReference w:id="30"/>
      </w:r>
      <w:r>
        <w:t xml:space="preserve"> </w:t>
      </w:r>
    </w:p>
    <w:p w14:paraId="12722570" w14:textId="77777777" w:rsidR="002D227D" w:rsidRDefault="00E9142D" w:rsidP="002D227D">
      <w:pPr>
        <w:spacing w:line="480" w:lineRule="auto"/>
        <w:ind w:left="720" w:hanging="720"/>
        <w:rPr>
          <w:b/>
        </w:rPr>
      </w:pPr>
      <w:r>
        <w:rPr>
          <w:b/>
        </w:rPr>
        <w:t>Q:</w:t>
      </w:r>
      <w:r>
        <w:rPr>
          <w:b/>
        </w:rPr>
        <w:tab/>
        <w:t>Could you please explain further by illustrating with an actual example of your analysis of an individual Intake Form?</w:t>
      </w:r>
    </w:p>
    <w:p w14:paraId="4012EDC4" w14:textId="77777777" w:rsidR="00E9142D" w:rsidRDefault="002F2E9F" w:rsidP="00E9142D">
      <w:pPr>
        <w:spacing w:line="480" w:lineRule="auto"/>
        <w:ind w:left="720" w:hanging="720"/>
      </w:pPr>
      <w:r>
        <w:t>A:</w:t>
      </w:r>
      <w:r>
        <w:tab/>
        <w:t>Yes.  We</w:t>
      </w:r>
      <w:r w:rsidR="00E9142D">
        <w:t xml:space="preserve"> classified the following complaint in three categories:  (1) high rates; (2) evidence of door-to-door sales; and (3) evidence of customer being </w:t>
      </w:r>
      <w:r w:rsidR="00E54ADF">
        <w:t>Senior</w:t>
      </w:r>
      <w:r w:rsidR="00E9142D">
        <w:t>.</w:t>
      </w:r>
      <w:r w:rsidR="00E9142D" w:rsidRPr="00E9142D">
        <w:rPr>
          <w:rStyle w:val="FootnoteReference"/>
          <w:noProof/>
        </w:rPr>
        <w:t xml:space="preserve"> </w:t>
      </w:r>
      <w:r w:rsidR="00E9142D">
        <w:rPr>
          <w:rStyle w:val="FootnoteReference"/>
          <w:noProof/>
        </w:rPr>
        <w:footnoteReference w:id="31"/>
      </w:r>
      <w:r w:rsidR="00E9142D">
        <w:t xml:space="preserve">  This complaint illustrates other issues as well:</w:t>
      </w:r>
    </w:p>
    <w:p w14:paraId="31384066" w14:textId="77777777" w:rsidR="00E9142D" w:rsidRDefault="00E9142D" w:rsidP="00E9142D">
      <w:pPr>
        <w:numPr>
          <w:ilvl w:val="0"/>
          <w:numId w:val="44"/>
        </w:numPr>
        <w:spacing w:line="480" w:lineRule="auto"/>
        <w:ind w:left="1440" w:hanging="720"/>
      </w:pPr>
      <w:r>
        <w:t>The customer was asked to show the sales representative a copy of her electric bill.</w:t>
      </w:r>
    </w:p>
    <w:p w14:paraId="560B5016" w14:textId="77777777" w:rsidR="00E9142D" w:rsidRDefault="00E9142D" w:rsidP="00E9142D">
      <w:pPr>
        <w:numPr>
          <w:ilvl w:val="0"/>
          <w:numId w:val="44"/>
        </w:numPr>
        <w:spacing w:line="480" w:lineRule="auto"/>
        <w:ind w:left="1440" w:hanging="720"/>
      </w:pPr>
      <w:r>
        <w:t>The customer was not given the relevant paperwork.</w:t>
      </w:r>
    </w:p>
    <w:p w14:paraId="0B0C3D54" w14:textId="77777777" w:rsidR="00E9142D" w:rsidRDefault="00E9142D" w:rsidP="00E9142D">
      <w:pPr>
        <w:numPr>
          <w:ilvl w:val="0"/>
          <w:numId w:val="44"/>
        </w:numPr>
        <w:spacing w:line="480" w:lineRule="auto"/>
        <w:ind w:left="1440" w:hanging="720"/>
      </w:pPr>
      <w:r>
        <w:t>The representative misled the customer into believing that she would save money.</w:t>
      </w:r>
    </w:p>
    <w:p w14:paraId="6F99711E" w14:textId="77777777" w:rsidR="00E9142D" w:rsidRDefault="00E9142D" w:rsidP="00E9142D">
      <w:pPr>
        <w:numPr>
          <w:ilvl w:val="0"/>
          <w:numId w:val="44"/>
        </w:numPr>
        <w:spacing w:line="480" w:lineRule="auto"/>
        <w:ind w:left="1440" w:hanging="720"/>
      </w:pPr>
      <w:r>
        <w:t>There is a high cancellation fee.</w:t>
      </w:r>
    </w:p>
    <w:p w14:paraId="6C956F2D" w14:textId="77777777" w:rsidR="00E9142D" w:rsidRDefault="00474528" w:rsidP="002F2E9F">
      <w:pPr>
        <w:tabs>
          <w:tab w:val="left" w:pos="4590"/>
        </w:tabs>
      </w:pPr>
      <w:r>
        <w:rPr>
          <w:noProof/>
        </w:rPr>
        <w:drawing>
          <wp:inline distT="0" distB="0" distL="0" distR="0" wp14:anchorId="29AAEFF4" wp14:editId="1DC43A69">
            <wp:extent cx="5943600" cy="1498600"/>
            <wp:effectExtent l="0" t="0" r="0" b="0"/>
            <wp:docPr id="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98600"/>
                    </a:xfrm>
                    <a:prstGeom prst="rect">
                      <a:avLst/>
                    </a:prstGeom>
                    <a:noFill/>
                    <a:ln>
                      <a:noFill/>
                    </a:ln>
                  </pic:spPr>
                </pic:pic>
              </a:graphicData>
            </a:graphic>
          </wp:inline>
        </w:drawing>
      </w:r>
    </w:p>
    <w:p w14:paraId="3BD7051D" w14:textId="77777777" w:rsidR="00E9142D" w:rsidRDefault="00E9142D" w:rsidP="002D227D">
      <w:pPr>
        <w:spacing w:line="480" w:lineRule="auto"/>
        <w:ind w:left="720" w:hanging="720"/>
      </w:pPr>
    </w:p>
    <w:p w14:paraId="42EBF570" w14:textId="77777777" w:rsidR="00A57DEE" w:rsidRPr="00A57DEE" w:rsidRDefault="00A57DEE" w:rsidP="002D227D">
      <w:pPr>
        <w:spacing w:line="480" w:lineRule="auto"/>
        <w:ind w:left="720" w:hanging="720"/>
        <w:rPr>
          <w:b/>
        </w:rPr>
      </w:pPr>
      <w:r>
        <w:rPr>
          <w:b/>
        </w:rPr>
        <w:t>Q:</w:t>
      </w:r>
      <w:r>
        <w:rPr>
          <w:b/>
        </w:rPr>
        <w:tab/>
        <w:t>Did you notice any patterns</w:t>
      </w:r>
      <w:r w:rsidR="00FF1381">
        <w:rPr>
          <w:b/>
        </w:rPr>
        <w:t xml:space="preserve"> in the consumer complaints?</w:t>
      </w:r>
    </w:p>
    <w:p w14:paraId="7133A399" w14:textId="77777777" w:rsidR="005E0F9B" w:rsidRDefault="00FF1381" w:rsidP="00FF1381">
      <w:pPr>
        <w:spacing w:line="480" w:lineRule="auto"/>
        <w:ind w:left="720" w:hanging="720"/>
      </w:pPr>
      <w:r>
        <w:t>A:</w:t>
      </w:r>
      <w:r>
        <w:tab/>
        <w:t>Yes.  For example, i</w:t>
      </w:r>
      <w:r w:rsidR="005E0F9B" w:rsidRPr="002F2E09">
        <w:t xml:space="preserve">n </w:t>
      </w:r>
      <w:r w:rsidR="002D227D">
        <w:t xml:space="preserve">the </w:t>
      </w:r>
      <w:r w:rsidR="005E0F9B" w:rsidRPr="002F2E09">
        <w:t>case of North America</w:t>
      </w:r>
      <w:r w:rsidR="00796DD7">
        <w:t>n</w:t>
      </w:r>
      <w:r w:rsidR="005E0F9B" w:rsidRPr="002F2E09">
        <w:t xml:space="preserve"> Power &amp; Gas</w:t>
      </w:r>
      <w:r w:rsidR="00796DD7">
        <w:t>, LLC (“NAP”)</w:t>
      </w:r>
      <w:r w:rsidR="005E0F9B" w:rsidRPr="002F2E09">
        <w:t xml:space="preserve">, </w:t>
      </w:r>
      <w:r w:rsidR="002F2E9F">
        <w:t>we</w:t>
      </w:r>
      <w:r w:rsidR="002D227D">
        <w:t xml:space="preserve"> noticed many complaints </w:t>
      </w:r>
      <w:r w:rsidR="005E0F9B" w:rsidRPr="002F2E09">
        <w:t>that customer</w:t>
      </w:r>
      <w:r w:rsidR="002D227D">
        <w:t>s</w:t>
      </w:r>
      <w:r w:rsidR="005E0F9B" w:rsidRPr="002F2E09">
        <w:t xml:space="preserve"> expected </w:t>
      </w:r>
      <w:r w:rsidR="002D227D">
        <w:t>three</w:t>
      </w:r>
      <w:r w:rsidR="005E0F9B" w:rsidRPr="002F2E09">
        <w:t xml:space="preserve"> months </w:t>
      </w:r>
      <w:r w:rsidR="004B7CBD">
        <w:t xml:space="preserve">at a </w:t>
      </w:r>
      <w:r w:rsidR="005E0F9B" w:rsidRPr="002F2E09">
        <w:t>fixed rate</w:t>
      </w:r>
      <w:r w:rsidR="00C747EB">
        <w:t>,</w:t>
      </w:r>
      <w:r w:rsidR="005E0F9B" w:rsidRPr="002F2E09">
        <w:t xml:space="preserve"> but only got one.  In </w:t>
      </w:r>
      <w:r w:rsidR="002D227D">
        <w:t xml:space="preserve">the </w:t>
      </w:r>
      <w:r w:rsidR="002F2E9F">
        <w:t>case of this S</w:t>
      </w:r>
      <w:r w:rsidR="005E0F9B" w:rsidRPr="002F2E09">
        <w:t>upplier,</w:t>
      </w:r>
      <w:r w:rsidR="002D227D">
        <w:t xml:space="preserve"> it seems that the</w:t>
      </w:r>
      <w:r w:rsidR="005E0F9B" w:rsidRPr="002F2E09">
        <w:t xml:space="preserve"> </w:t>
      </w:r>
      <w:r w:rsidR="002D227D">
        <w:t>“</w:t>
      </w:r>
      <w:r w:rsidR="00B73D5D">
        <w:t>squeaky wheel got</w:t>
      </w:r>
      <w:r w:rsidR="005E0F9B" w:rsidRPr="002F2E09">
        <w:t xml:space="preserve"> </w:t>
      </w:r>
      <w:r w:rsidR="002D227D">
        <w:t xml:space="preserve">the </w:t>
      </w:r>
      <w:r w:rsidR="005E0F9B" w:rsidRPr="002F2E09">
        <w:t>grease</w:t>
      </w:r>
      <w:r w:rsidR="001C5281">
        <w:t>.</w:t>
      </w:r>
      <w:r w:rsidR="0000088C">
        <w:t>”</w:t>
      </w:r>
      <w:r w:rsidR="00CD64A6">
        <w:t xml:space="preserve">  As Table 8</w:t>
      </w:r>
      <w:r w:rsidR="001C5281">
        <w:t xml:space="preserve"> shows, 56 of the 79 customers who complained about </w:t>
      </w:r>
      <w:r w:rsidR="009C018C">
        <w:t>NAP’s</w:t>
      </w:r>
      <w:r w:rsidR="001C5281">
        <w:t xml:space="preserve"> service (</w:t>
      </w:r>
      <w:r w:rsidR="001C5281" w:rsidRPr="009E4F4A">
        <w:rPr>
          <w:i/>
        </w:rPr>
        <w:t>i.e.</w:t>
      </w:r>
      <w:r w:rsidR="001C5281">
        <w:t>, 71%) received credits</w:t>
      </w:r>
      <w:r w:rsidR="005E0F9B" w:rsidRPr="002F2E09">
        <w:t xml:space="preserve"> (typically based on </w:t>
      </w:r>
      <w:r w:rsidR="00DB7D63">
        <w:t xml:space="preserve">the </w:t>
      </w:r>
      <w:r w:rsidR="005E0F9B" w:rsidRPr="002F2E09">
        <w:t xml:space="preserve">difference between </w:t>
      </w:r>
      <w:r w:rsidR="00DB7D63">
        <w:t xml:space="preserve">the </w:t>
      </w:r>
      <w:r w:rsidR="005E0F9B" w:rsidRPr="002F2E09">
        <w:t xml:space="preserve">original fixed </w:t>
      </w:r>
      <w:r w:rsidR="002D227D">
        <w:t xml:space="preserve">rate </w:t>
      </w:r>
      <w:r w:rsidR="005E0F9B" w:rsidRPr="002F2E09">
        <w:t xml:space="preserve">and </w:t>
      </w:r>
      <w:r w:rsidR="002D227D">
        <w:t>the as-</w:t>
      </w:r>
      <w:r w:rsidR="005E0F9B" w:rsidRPr="002F2E09">
        <w:t>billed variable</w:t>
      </w:r>
      <w:r w:rsidR="002D227D">
        <w:t xml:space="preserve"> rate</w:t>
      </w:r>
      <w:r w:rsidR="005E0F9B" w:rsidRPr="002F2E09">
        <w:t xml:space="preserve">).  </w:t>
      </w:r>
      <w:r w:rsidR="002D227D">
        <w:t>Of course</w:t>
      </w:r>
      <w:r w:rsidR="00C747EB">
        <w:t>,</w:t>
      </w:r>
      <w:r w:rsidR="002D227D">
        <w:t xml:space="preserve"> consumer credits are welcome</w:t>
      </w:r>
      <w:r w:rsidR="00C747EB">
        <w:t>,</w:t>
      </w:r>
      <w:r w:rsidR="002D227D">
        <w:t xml:space="preserve"> </w:t>
      </w:r>
      <w:r w:rsidR="009E4F4A">
        <w:t>but credits to specific consumers do</w:t>
      </w:r>
      <w:r w:rsidR="008E51F6">
        <w:t>es</w:t>
      </w:r>
      <w:r w:rsidR="009E4F4A">
        <w:t xml:space="preserve"> not eradicate the harm to the many other consumers who either did not observe </w:t>
      </w:r>
      <w:r w:rsidR="00A360FC">
        <w:t>that premature rate increase or did not take the time to complain</w:t>
      </w:r>
    </w:p>
    <w:p w14:paraId="65182395" w14:textId="77777777" w:rsidR="00A360FC" w:rsidRDefault="00A360FC" w:rsidP="00FF1381">
      <w:pPr>
        <w:spacing w:line="480" w:lineRule="auto"/>
        <w:ind w:left="720"/>
      </w:pPr>
    </w:p>
    <w:p w14:paraId="6A1A06D5" w14:textId="77777777" w:rsidR="00FF1381" w:rsidRDefault="00FF1381" w:rsidP="00FF1381">
      <w:pPr>
        <w:spacing w:line="480" w:lineRule="auto"/>
        <w:ind w:left="720"/>
      </w:pPr>
      <w:r>
        <w:t xml:space="preserve">Also, in the instance of </w:t>
      </w:r>
      <w:r w:rsidR="00F41EB6">
        <w:t>Clearview</w:t>
      </w:r>
      <w:r w:rsidR="00B62C30">
        <w:t>, we</w:t>
      </w:r>
      <w:r>
        <w:t xml:space="preserve"> noticed that many consumers complained about cancellation fees.  One consumer could not get through on Clearview’s phones to cancel the service.  Another customer had a one-year contract and then did not renew the service but was charged 10 mon</w:t>
      </w:r>
      <w:r w:rsidR="002F2E9F">
        <w:t xml:space="preserve">ths of early termination fees.  </w:t>
      </w:r>
      <w:r w:rsidR="00DC5EC3">
        <w:t>In this case, it seems as though the customer would have benefitted from better c</w:t>
      </w:r>
      <w:r w:rsidR="002F2E9F">
        <w:t>ommunication prior to the S</w:t>
      </w:r>
      <w:r w:rsidR="00DC5EC3">
        <w:t xml:space="preserve">upplier’s renewal of his contract. </w:t>
      </w:r>
    </w:p>
    <w:p w14:paraId="03851550" w14:textId="77777777" w:rsidR="00C92E65" w:rsidRDefault="00C92E65" w:rsidP="0009426F">
      <w:pPr>
        <w:spacing w:line="480" w:lineRule="auto"/>
        <w:outlineLvl w:val="1"/>
        <w:rPr>
          <w:b/>
        </w:rPr>
      </w:pPr>
      <w:bookmarkStart w:id="33" w:name="_Toc382029122"/>
      <w:r>
        <w:rPr>
          <w:b/>
        </w:rPr>
        <w:t>Ongoing evidence of persistent consumer harm</w:t>
      </w:r>
      <w:bookmarkEnd w:id="33"/>
    </w:p>
    <w:p w14:paraId="238F622D" w14:textId="77777777" w:rsidR="00C92E65" w:rsidRDefault="00C92E65" w:rsidP="00C92E65">
      <w:pPr>
        <w:spacing w:line="480" w:lineRule="auto"/>
        <w:ind w:left="720" w:hanging="720"/>
        <w:rPr>
          <w:b/>
        </w:rPr>
      </w:pPr>
      <w:r>
        <w:rPr>
          <w:b/>
        </w:rPr>
        <w:t>Q:</w:t>
      </w:r>
      <w:r>
        <w:rPr>
          <w:b/>
        </w:rPr>
        <w:tab/>
        <w:t>Earlier you mentioned that the complaints that you examined spanned January through September 2013.  Are you aware of any more recent information demonstrating that consumers are continuing to pay exorbitant rates and are complaining about</w:t>
      </w:r>
      <w:r w:rsidR="00A93FF2">
        <w:rPr>
          <w:b/>
        </w:rPr>
        <w:t xml:space="preserve"> Supplier</w:t>
      </w:r>
      <w:r>
        <w:rPr>
          <w:b/>
        </w:rPr>
        <w:t>s’ practices?</w:t>
      </w:r>
    </w:p>
    <w:p w14:paraId="4EB61018" w14:textId="77777777" w:rsidR="004737C1" w:rsidRDefault="00C92E65" w:rsidP="00BE7269">
      <w:pPr>
        <w:spacing w:line="480" w:lineRule="auto"/>
        <w:ind w:left="720" w:hanging="720"/>
        <w:rPr>
          <w:color w:val="1F497D"/>
        </w:rPr>
      </w:pPr>
      <w:r>
        <w:t>A:</w:t>
      </w:r>
      <w:r>
        <w:tab/>
        <w:t xml:space="preserve">Yes.  </w:t>
      </w:r>
      <w:r w:rsidR="004737C1">
        <w:t xml:space="preserve">There is ample evidence of ongoing consumer outrage and concern, which includes, among other things, </w:t>
      </w:r>
      <w:r w:rsidR="00310FF6">
        <w:t xml:space="preserve">sworn Connecticut resident testimony </w:t>
      </w:r>
      <w:r w:rsidR="004737C1">
        <w:t xml:space="preserve">at </w:t>
      </w:r>
      <w:r w:rsidR="00310FF6">
        <w:t xml:space="preserve">the five </w:t>
      </w:r>
      <w:r w:rsidR="004737C1">
        <w:t xml:space="preserve">PURA </w:t>
      </w:r>
      <w:r w:rsidR="00310FF6">
        <w:t>P</w:t>
      </w:r>
      <w:r w:rsidR="004737C1">
        <w:t xml:space="preserve">ublic </w:t>
      </w:r>
      <w:r w:rsidR="00310FF6">
        <w:t>C</w:t>
      </w:r>
      <w:r w:rsidR="004737C1">
        <w:t xml:space="preserve">omment </w:t>
      </w:r>
      <w:r w:rsidR="00310FF6">
        <w:t>H</w:t>
      </w:r>
      <w:r w:rsidR="004737C1">
        <w:t>earings</w:t>
      </w:r>
      <w:r w:rsidR="00793785">
        <w:t xml:space="preserve"> in this docket</w:t>
      </w:r>
      <w:r w:rsidR="004737C1">
        <w:t xml:space="preserve">, and </w:t>
      </w:r>
      <w:r w:rsidR="00310FF6">
        <w:t xml:space="preserve">copious </w:t>
      </w:r>
      <w:r w:rsidR="00BC69E7">
        <w:t>C</w:t>
      </w:r>
      <w:r w:rsidR="004737C1">
        <w:t xml:space="preserve">onsumer </w:t>
      </w:r>
      <w:r w:rsidR="00310FF6">
        <w:t>C</w:t>
      </w:r>
      <w:r w:rsidR="004737C1">
        <w:t>omments</w:t>
      </w:r>
      <w:r w:rsidR="00310FF6">
        <w:t xml:space="preserve"> (</w:t>
      </w:r>
      <w:r w:rsidR="00310FF6">
        <w:rPr>
          <w:i/>
        </w:rPr>
        <w:t xml:space="preserve">i.e., </w:t>
      </w:r>
      <w:r w:rsidR="00310FF6">
        <w:t>complaints) filed</w:t>
      </w:r>
      <w:r w:rsidR="004737C1">
        <w:t xml:space="preserve"> specifically in this docket. </w:t>
      </w:r>
      <w:r w:rsidR="002F2E9F">
        <w:t xml:space="preserve"> We</w:t>
      </w:r>
      <w:r w:rsidR="0000088C">
        <w:t xml:space="preserve"> plan to update this testimony prior to the commencement of hearings to incorporate some of this recent information. </w:t>
      </w:r>
    </w:p>
    <w:p w14:paraId="399447F4" w14:textId="77777777" w:rsidR="004737C1" w:rsidRDefault="004737C1" w:rsidP="004737C1">
      <w:pPr>
        <w:rPr>
          <w:color w:val="1F497D"/>
        </w:rPr>
      </w:pPr>
    </w:p>
    <w:p w14:paraId="08993050" w14:textId="77777777" w:rsidR="004737C1" w:rsidRDefault="004737C1" w:rsidP="004737C1">
      <w:pPr>
        <w:spacing w:line="480" w:lineRule="auto"/>
        <w:ind w:left="720"/>
      </w:pPr>
      <w:r>
        <w:t xml:space="preserve">Based on </w:t>
      </w:r>
      <w:r w:rsidR="00AD6779">
        <w:t xml:space="preserve">our </w:t>
      </w:r>
      <w:r>
        <w:t xml:space="preserve">conversations with OCC, it is </w:t>
      </w:r>
      <w:r w:rsidR="00AD6779">
        <w:t xml:space="preserve">our </w:t>
      </w:r>
      <w:r>
        <w:t xml:space="preserve">understanding that </w:t>
      </w:r>
      <w:r w:rsidR="00310FF6">
        <w:t>the P</w:t>
      </w:r>
      <w:r>
        <w:t xml:space="preserve">ublic </w:t>
      </w:r>
      <w:r w:rsidR="00310FF6">
        <w:t>C</w:t>
      </w:r>
      <w:r>
        <w:t xml:space="preserve">omment </w:t>
      </w:r>
      <w:r w:rsidR="00310FF6">
        <w:t>H</w:t>
      </w:r>
      <w:r>
        <w:t>earings thus far have been very well-attended, and consumer</w:t>
      </w:r>
      <w:r w:rsidR="00A360FC">
        <w:t xml:space="preserve"> </w:t>
      </w:r>
      <w:r w:rsidR="00310FF6">
        <w:t>testimony is</w:t>
      </w:r>
      <w:r>
        <w:t xml:space="preserve"> consistent with the areas of concern that PURA Intake Forms identify.  Public </w:t>
      </w:r>
      <w:r w:rsidR="00310FF6">
        <w:t>C</w:t>
      </w:r>
      <w:r>
        <w:t xml:space="preserve">omment </w:t>
      </w:r>
      <w:r w:rsidR="00310FF6">
        <w:t>H</w:t>
      </w:r>
      <w:r>
        <w:t>earings have been held in Milford (February 19</w:t>
      </w:r>
      <w:r w:rsidR="00310FF6">
        <w:t>, 2014</w:t>
      </w:r>
      <w:r>
        <w:t>), Farmington (February 20), Brookfield (February 24)</w:t>
      </w:r>
      <w:r w:rsidR="00793785">
        <w:t>,</w:t>
      </w:r>
      <w:r>
        <w:t xml:space="preserve"> Norwich (February 25)</w:t>
      </w:r>
      <w:r w:rsidR="002F2E9F">
        <w:t>,</w:t>
      </w:r>
      <w:r>
        <w:t xml:space="preserve"> and Waterbury (February 27</w:t>
      </w:r>
      <w:r w:rsidR="00793785">
        <w:t>)</w:t>
      </w:r>
      <w:r>
        <w:t xml:space="preserve">.  </w:t>
      </w:r>
      <w:r w:rsidR="001F1B3E">
        <w:t xml:space="preserve"> </w:t>
      </w:r>
    </w:p>
    <w:p w14:paraId="77DF2A47" w14:textId="77777777" w:rsidR="004737C1" w:rsidRDefault="004737C1" w:rsidP="00BE7269">
      <w:pPr>
        <w:spacing w:line="480" w:lineRule="auto"/>
      </w:pPr>
    </w:p>
    <w:p w14:paraId="4765CEFE" w14:textId="77777777" w:rsidR="00ED55E4" w:rsidRDefault="002F2E9F" w:rsidP="00B7138F">
      <w:pPr>
        <w:spacing w:line="480" w:lineRule="auto"/>
        <w:outlineLvl w:val="1"/>
        <w:rPr>
          <w:b/>
        </w:rPr>
      </w:pPr>
      <w:bookmarkStart w:id="34" w:name="_Toc382029123"/>
      <w:r>
        <w:rPr>
          <w:b/>
        </w:rPr>
        <w:t>Complaints about S</w:t>
      </w:r>
      <w:r w:rsidR="00687B20">
        <w:rPr>
          <w:b/>
        </w:rPr>
        <w:t xml:space="preserve">uppliers’ </w:t>
      </w:r>
      <w:r w:rsidR="00B7138F">
        <w:rPr>
          <w:b/>
        </w:rPr>
        <w:t>rates</w:t>
      </w:r>
      <w:bookmarkEnd w:id="34"/>
    </w:p>
    <w:p w14:paraId="27C2C103" w14:textId="77777777" w:rsidR="00ED55E4" w:rsidRDefault="00ED55E4" w:rsidP="00B7138F">
      <w:pPr>
        <w:spacing w:line="480" w:lineRule="auto"/>
        <w:rPr>
          <w:b/>
        </w:rPr>
      </w:pPr>
      <w:r>
        <w:rPr>
          <w:b/>
        </w:rPr>
        <w:t xml:space="preserve">Q:  </w:t>
      </w:r>
      <w:r w:rsidR="000B6AD0">
        <w:rPr>
          <w:b/>
        </w:rPr>
        <w:tab/>
      </w:r>
      <w:r>
        <w:rPr>
          <w:b/>
        </w:rPr>
        <w:t>What info</w:t>
      </w:r>
      <w:r w:rsidR="005C073E">
        <w:rPr>
          <w:b/>
        </w:rPr>
        <w:t>rmation is summarized on Table 5</w:t>
      </w:r>
      <w:r>
        <w:rPr>
          <w:b/>
        </w:rPr>
        <w:t xml:space="preserve"> below?</w:t>
      </w:r>
    </w:p>
    <w:p w14:paraId="757368A7" w14:textId="77777777" w:rsidR="00ED55E4" w:rsidRPr="00ED55E4" w:rsidRDefault="00ED55E4" w:rsidP="00B7138F">
      <w:pPr>
        <w:spacing w:line="480" w:lineRule="auto"/>
        <w:ind w:left="720" w:hanging="720"/>
        <w:rPr>
          <w:b/>
        </w:rPr>
      </w:pPr>
      <w:r w:rsidRPr="00402810">
        <w:t xml:space="preserve">A:  </w:t>
      </w:r>
      <w:r w:rsidR="000B6AD0" w:rsidRPr="00402810">
        <w:tab/>
      </w:r>
      <w:r w:rsidR="005C073E">
        <w:t>Table 5</w:t>
      </w:r>
      <w:r w:rsidRPr="00402810">
        <w:t xml:space="preserve"> shows that customers complain</w:t>
      </w:r>
      <w:r w:rsidR="000B6AD0" w:rsidRPr="00402810">
        <w:t>ed</w:t>
      </w:r>
      <w:r w:rsidRPr="00402810">
        <w:t xml:space="preserve"> frequently about high rates and about rates that increased dramatically when they changed from fixed to variable.</w:t>
      </w:r>
      <w:r>
        <w:rPr>
          <w:b/>
        </w:rPr>
        <w:t xml:space="preserve">  </w:t>
      </w:r>
      <w:r w:rsidR="000B6AD0">
        <w:t>Many customers are indignant about the fact that</w:t>
      </w:r>
      <w:r w:rsidR="00A93FF2">
        <w:t xml:space="preserve"> Supplier</w:t>
      </w:r>
      <w:r w:rsidR="000B6AD0">
        <w:t>s’ rates are high, when the sales pitch that was used to promote the service focused on saving the customer money.  In many cases, the customer was pitched a low introductory fixed rate that became variable, at a much higher level.</w:t>
      </w:r>
    </w:p>
    <w:p w14:paraId="6782C354" w14:textId="77777777" w:rsidR="00940187" w:rsidRDefault="00940187" w:rsidP="00B7138F">
      <w:pPr>
        <w:keepNext/>
        <w:keepLines/>
        <w:spacing w:line="480" w:lineRule="auto"/>
        <w:ind w:left="720"/>
        <w:jc w:val="center"/>
        <w:rPr>
          <w:b/>
        </w:rPr>
      </w:pPr>
      <w:r>
        <w:rPr>
          <w:b/>
        </w:rPr>
        <w:t xml:space="preserve">Table </w:t>
      </w:r>
      <w:r w:rsidR="005C073E">
        <w:rPr>
          <w:b/>
        </w:rPr>
        <w:t>5</w:t>
      </w:r>
    </w:p>
    <w:p w14:paraId="1E8C66AD" w14:textId="77777777" w:rsidR="00940187" w:rsidRDefault="00940187" w:rsidP="00B7138F">
      <w:pPr>
        <w:keepNext/>
        <w:keepLines/>
        <w:spacing w:line="480" w:lineRule="auto"/>
        <w:ind w:left="720"/>
        <w:jc w:val="center"/>
        <w:rPr>
          <w:b/>
        </w:rPr>
      </w:pPr>
      <w:r>
        <w:rPr>
          <w:b/>
        </w:rPr>
        <w:t>Complaints  -  Rate Levels and Rate Changes</w:t>
      </w:r>
      <w:r w:rsidR="00523FFF">
        <w:rPr>
          <w:rStyle w:val="FootnoteReference"/>
          <w:b/>
        </w:rPr>
        <w:footnoteReference w:id="32"/>
      </w:r>
    </w:p>
    <w:tbl>
      <w:tblPr>
        <w:tblW w:w="6360" w:type="dxa"/>
        <w:jc w:val="center"/>
        <w:tblLook w:val="04A0" w:firstRow="1" w:lastRow="0" w:firstColumn="1" w:lastColumn="0" w:noHBand="0" w:noVBand="1"/>
      </w:tblPr>
      <w:tblGrid>
        <w:gridCol w:w="3240"/>
        <w:gridCol w:w="1520"/>
        <w:gridCol w:w="1600"/>
      </w:tblGrid>
      <w:tr w:rsidR="00CB3F0E" w:rsidRPr="00CB3F0E" w14:paraId="750FD561" w14:textId="77777777" w:rsidTr="00CB3F0E">
        <w:trPr>
          <w:trHeight w:val="1060"/>
          <w:jc w:val="center"/>
        </w:trPr>
        <w:tc>
          <w:tcPr>
            <w:tcW w:w="3240" w:type="dxa"/>
            <w:tcBorders>
              <w:top w:val="single" w:sz="8" w:space="0" w:color="auto"/>
              <w:left w:val="single" w:sz="8" w:space="0" w:color="auto"/>
              <w:bottom w:val="single" w:sz="8" w:space="0" w:color="auto"/>
              <w:right w:val="nil"/>
            </w:tcBorders>
            <w:shd w:val="clear" w:color="auto" w:fill="auto"/>
            <w:noWrap/>
            <w:vAlign w:val="center"/>
            <w:hideMark/>
          </w:tcPr>
          <w:p w14:paraId="0B4BC9AD" w14:textId="77777777" w:rsidR="00CB3F0E" w:rsidRPr="00CB3F0E" w:rsidRDefault="00CB3F0E" w:rsidP="00B7138F">
            <w:pPr>
              <w:keepNext/>
              <w:keepLines/>
              <w:widowControl/>
              <w:autoSpaceDE/>
              <w:autoSpaceDN/>
              <w:adjustRightInd/>
              <w:jc w:val="center"/>
              <w:rPr>
                <w:b/>
                <w:bCs/>
                <w:color w:val="000000"/>
                <w:sz w:val="22"/>
                <w:szCs w:val="22"/>
              </w:rPr>
            </w:pPr>
            <w:r w:rsidRPr="00CB3F0E">
              <w:rPr>
                <w:b/>
                <w:bCs/>
                <w:color w:val="000000"/>
                <w:sz w:val="22"/>
                <w:szCs w:val="22"/>
              </w:rPr>
              <w:t>Supplier</w:t>
            </w:r>
          </w:p>
        </w:tc>
        <w:tc>
          <w:tcPr>
            <w:tcW w:w="1520" w:type="dxa"/>
            <w:tcBorders>
              <w:top w:val="single" w:sz="8" w:space="0" w:color="auto"/>
              <w:left w:val="nil"/>
              <w:bottom w:val="single" w:sz="8" w:space="0" w:color="auto"/>
              <w:right w:val="nil"/>
            </w:tcBorders>
            <w:shd w:val="clear" w:color="auto" w:fill="auto"/>
            <w:vAlign w:val="center"/>
            <w:hideMark/>
          </w:tcPr>
          <w:p w14:paraId="7584A89E" w14:textId="77777777" w:rsidR="00CB3F0E" w:rsidRPr="00CB3F0E" w:rsidRDefault="00CB3F0E" w:rsidP="00B7138F">
            <w:pPr>
              <w:keepNext/>
              <w:keepLines/>
              <w:widowControl/>
              <w:autoSpaceDE/>
              <w:autoSpaceDN/>
              <w:adjustRightInd/>
              <w:jc w:val="center"/>
              <w:rPr>
                <w:b/>
                <w:bCs/>
                <w:color w:val="000000"/>
                <w:sz w:val="22"/>
                <w:szCs w:val="22"/>
              </w:rPr>
            </w:pPr>
            <w:r w:rsidRPr="00CB3F0E">
              <w:rPr>
                <w:b/>
                <w:bCs/>
                <w:color w:val="000000"/>
                <w:sz w:val="22"/>
                <w:szCs w:val="22"/>
              </w:rPr>
              <w:t>Complaints That Rates are High</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7D45AD21" w14:textId="77777777" w:rsidR="00CB3F0E" w:rsidRPr="00CB3F0E" w:rsidRDefault="00CB3F0E" w:rsidP="00B7138F">
            <w:pPr>
              <w:keepNext/>
              <w:keepLines/>
              <w:widowControl/>
              <w:autoSpaceDE/>
              <w:autoSpaceDN/>
              <w:adjustRightInd/>
              <w:jc w:val="center"/>
              <w:rPr>
                <w:b/>
                <w:bCs/>
                <w:color w:val="000000"/>
                <w:sz w:val="22"/>
                <w:szCs w:val="22"/>
              </w:rPr>
            </w:pPr>
            <w:r w:rsidRPr="00CB3F0E">
              <w:rPr>
                <w:b/>
                <w:bCs/>
                <w:color w:val="000000"/>
                <w:sz w:val="22"/>
                <w:szCs w:val="22"/>
              </w:rPr>
              <w:t>Was Told Would be Fixed Became Variable</w:t>
            </w:r>
          </w:p>
        </w:tc>
      </w:tr>
      <w:tr w:rsidR="00CB3F0E" w:rsidRPr="00CB3F0E" w14:paraId="1AA1ECDA"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7B79D6F5"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Starion</w:t>
            </w:r>
          </w:p>
        </w:tc>
        <w:tc>
          <w:tcPr>
            <w:tcW w:w="1520" w:type="dxa"/>
            <w:tcBorders>
              <w:top w:val="nil"/>
              <w:left w:val="nil"/>
              <w:bottom w:val="nil"/>
              <w:right w:val="nil"/>
            </w:tcBorders>
            <w:shd w:val="clear" w:color="auto" w:fill="auto"/>
            <w:noWrap/>
            <w:vAlign w:val="bottom"/>
            <w:hideMark/>
          </w:tcPr>
          <w:p w14:paraId="0C38646D"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98</w:t>
            </w:r>
          </w:p>
        </w:tc>
        <w:tc>
          <w:tcPr>
            <w:tcW w:w="1600" w:type="dxa"/>
            <w:tcBorders>
              <w:top w:val="nil"/>
              <w:left w:val="nil"/>
              <w:bottom w:val="nil"/>
              <w:right w:val="single" w:sz="8" w:space="0" w:color="auto"/>
            </w:tcBorders>
            <w:shd w:val="clear" w:color="auto" w:fill="auto"/>
            <w:noWrap/>
            <w:vAlign w:val="bottom"/>
            <w:hideMark/>
          </w:tcPr>
          <w:p w14:paraId="6A7160F8"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23</w:t>
            </w:r>
          </w:p>
        </w:tc>
      </w:tr>
      <w:tr w:rsidR="00CB3F0E" w:rsidRPr="00CB3F0E" w14:paraId="7358AABA"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51082A1B"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Public Power &amp; Utility</w:t>
            </w:r>
          </w:p>
        </w:tc>
        <w:tc>
          <w:tcPr>
            <w:tcW w:w="1520" w:type="dxa"/>
            <w:tcBorders>
              <w:top w:val="nil"/>
              <w:left w:val="nil"/>
              <w:bottom w:val="nil"/>
              <w:right w:val="nil"/>
            </w:tcBorders>
            <w:shd w:val="clear" w:color="000000" w:fill="D9D9D9"/>
            <w:noWrap/>
            <w:vAlign w:val="bottom"/>
            <w:hideMark/>
          </w:tcPr>
          <w:p w14:paraId="41442F84"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61</w:t>
            </w:r>
          </w:p>
        </w:tc>
        <w:tc>
          <w:tcPr>
            <w:tcW w:w="1600" w:type="dxa"/>
            <w:tcBorders>
              <w:top w:val="nil"/>
              <w:left w:val="nil"/>
              <w:bottom w:val="nil"/>
              <w:right w:val="single" w:sz="8" w:space="0" w:color="auto"/>
            </w:tcBorders>
            <w:shd w:val="clear" w:color="000000" w:fill="D9D9D9"/>
            <w:noWrap/>
            <w:vAlign w:val="bottom"/>
            <w:hideMark/>
          </w:tcPr>
          <w:p w14:paraId="6FDFAF65"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16</w:t>
            </w:r>
          </w:p>
        </w:tc>
      </w:tr>
      <w:tr w:rsidR="00CB3F0E" w:rsidRPr="00CB3F0E" w14:paraId="3D51A1F9"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2B9A9749"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North American Power &amp; Gas</w:t>
            </w:r>
          </w:p>
        </w:tc>
        <w:tc>
          <w:tcPr>
            <w:tcW w:w="1520" w:type="dxa"/>
            <w:tcBorders>
              <w:top w:val="nil"/>
              <w:left w:val="nil"/>
              <w:bottom w:val="nil"/>
              <w:right w:val="nil"/>
            </w:tcBorders>
            <w:shd w:val="clear" w:color="auto" w:fill="auto"/>
            <w:noWrap/>
            <w:vAlign w:val="bottom"/>
            <w:hideMark/>
          </w:tcPr>
          <w:p w14:paraId="64AA8CC8"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60</w:t>
            </w:r>
          </w:p>
        </w:tc>
        <w:tc>
          <w:tcPr>
            <w:tcW w:w="1600" w:type="dxa"/>
            <w:tcBorders>
              <w:top w:val="nil"/>
              <w:left w:val="nil"/>
              <w:bottom w:val="nil"/>
              <w:right w:val="single" w:sz="8" w:space="0" w:color="auto"/>
            </w:tcBorders>
            <w:shd w:val="clear" w:color="auto" w:fill="auto"/>
            <w:noWrap/>
            <w:vAlign w:val="bottom"/>
            <w:hideMark/>
          </w:tcPr>
          <w:p w14:paraId="7DE7B682"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41</w:t>
            </w:r>
          </w:p>
        </w:tc>
      </w:tr>
      <w:tr w:rsidR="00CB3F0E" w:rsidRPr="00CB3F0E" w14:paraId="305A0BD9"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7FBF93F6"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Direct Energy</w:t>
            </w:r>
          </w:p>
        </w:tc>
        <w:tc>
          <w:tcPr>
            <w:tcW w:w="1520" w:type="dxa"/>
            <w:tcBorders>
              <w:top w:val="nil"/>
              <w:left w:val="nil"/>
              <w:bottom w:val="nil"/>
              <w:right w:val="nil"/>
            </w:tcBorders>
            <w:shd w:val="clear" w:color="000000" w:fill="D9D9D9"/>
            <w:noWrap/>
            <w:vAlign w:val="bottom"/>
            <w:hideMark/>
          </w:tcPr>
          <w:p w14:paraId="739C41A5"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43</w:t>
            </w:r>
          </w:p>
        </w:tc>
        <w:tc>
          <w:tcPr>
            <w:tcW w:w="1600" w:type="dxa"/>
            <w:tcBorders>
              <w:top w:val="nil"/>
              <w:left w:val="nil"/>
              <w:bottom w:val="nil"/>
              <w:right w:val="single" w:sz="8" w:space="0" w:color="auto"/>
            </w:tcBorders>
            <w:shd w:val="clear" w:color="000000" w:fill="D9D9D9"/>
            <w:noWrap/>
            <w:vAlign w:val="bottom"/>
            <w:hideMark/>
          </w:tcPr>
          <w:p w14:paraId="4C8F4BC1"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19</w:t>
            </w:r>
          </w:p>
        </w:tc>
      </w:tr>
      <w:tr w:rsidR="00CB3F0E" w:rsidRPr="00CB3F0E" w14:paraId="2C1DEBDA"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09854A6B"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Dominion</w:t>
            </w:r>
          </w:p>
        </w:tc>
        <w:tc>
          <w:tcPr>
            <w:tcW w:w="1520" w:type="dxa"/>
            <w:tcBorders>
              <w:top w:val="nil"/>
              <w:left w:val="nil"/>
              <w:bottom w:val="nil"/>
              <w:right w:val="nil"/>
            </w:tcBorders>
            <w:shd w:val="clear" w:color="auto" w:fill="auto"/>
            <w:noWrap/>
            <w:vAlign w:val="bottom"/>
            <w:hideMark/>
          </w:tcPr>
          <w:p w14:paraId="5984A264"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28</w:t>
            </w:r>
          </w:p>
        </w:tc>
        <w:tc>
          <w:tcPr>
            <w:tcW w:w="1600" w:type="dxa"/>
            <w:tcBorders>
              <w:top w:val="nil"/>
              <w:left w:val="nil"/>
              <w:bottom w:val="nil"/>
              <w:right w:val="single" w:sz="8" w:space="0" w:color="auto"/>
            </w:tcBorders>
            <w:shd w:val="clear" w:color="auto" w:fill="auto"/>
            <w:noWrap/>
            <w:vAlign w:val="bottom"/>
            <w:hideMark/>
          </w:tcPr>
          <w:p w14:paraId="5056C705"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7</w:t>
            </w:r>
          </w:p>
        </w:tc>
      </w:tr>
      <w:tr w:rsidR="00CB3F0E" w:rsidRPr="00CB3F0E" w14:paraId="510C5747"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12EDC64A"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CT Gas &amp; Electric</w:t>
            </w:r>
          </w:p>
        </w:tc>
        <w:tc>
          <w:tcPr>
            <w:tcW w:w="1520" w:type="dxa"/>
            <w:tcBorders>
              <w:top w:val="nil"/>
              <w:left w:val="nil"/>
              <w:bottom w:val="nil"/>
              <w:right w:val="nil"/>
            </w:tcBorders>
            <w:shd w:val="clear" w:color="000000" w:fill="D9D9D9"/>
            <w:noWrap/>
            <w:vAlign w:val="bottom"/>
            <w:hideMark/>
          </w:tcPr>
          <w:p w14:paraId="46DCD249"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21</w:t>
            </w:r>
          </w:p>
        </w:tc>
        <w:tc>
          <w:tcPr>
            <w:tcW w:w="1600" w:type="dxa"/>
            <w:tcBorders>
              <w:top w:val="nil"/>
              <w:left w:val="nil"/>
              <w:bottom w:val="nil"/>
              <w:right w:val="single" w:sz="8" w:space="0" w:color="auto"/>
            </w:tcBorders>
            <w:shd w:val="clear" w:color="000000" w:fill="D9D9D9"/>
            <w:noWrap/>
            <w:vAlign w:val="bottom"/>
            <w:hideMark/>
          </w:tcPr>
          <w:p w14:paraId="207C0659"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8</w:t>
            </w:r>
          </w:p>
        </w:tc>
      </w:tr>
      <w:tr w:rsidR="00CB3F0E" w:rsidRPr="00CB3F0E" w14:paraId="5F037EAC"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617D1B8D"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Viridian</w:t>
            </w:r>
          </w:p>
        </w:tc>
        <w:tc>
          <w:tcPr>
            <w:tcW w:w="1520" w:type="dxa"/>
            <w:tcBorders>
              <w:top w:val="nil"/>
              <w:left w:val="nil"/>
              <w:bottom w:val="nil"/>
              <w:right w:val="nil"/>
            </w:tcBorders>
            <w:shd w:val="clear" w:color="auto" w:fill="auto"/>
            <w:noWrap/>
            <w:vAlign w:val="bottom"/>
            <w:hideMark/>
          </w:tcPr>
          <w:p w14:paraId="1796EB7C"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20</w:t>
            </w:r>
          </w:p>
        </w:tc>
        <w:tc>
          <w:tcPr>
            <w:tcW w:w="1600" w:type="dxa"/>
            <w:tcBorders>
              <w:top w:val="nil"/>
              <w:left w:val="nil"/>
              <w:bottom w:val="nil"/>
              <w:right w:val="single" w:sz="8" w:space="0" w:color="auto"/>
            </w:tcBorders>
            <w:shd w:val="clear" w:color="auto" w:fill="auto"/>
            <w:noWrap/>
            <w:vAlign w:val="bottom"/>
            <w:hideMark/>
          </w:tcPr>
          <w:p w14:paraId="13D49FCF"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8</w:t>
            </w:r>
          </w:p>
        </w:tc>
      </w:tr>
      <w:tr w:rsidR="00CB3F0E" w:rsidRPr="00CB3F0E" w14:paraId="263088B3"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241F6859"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Choice</w:t>
            </w:r>
          </w:p>
        </w:tc>
        <w:tc>
          <w:tcPr>
            <w:tcW w:w="1520" w:type="dxa"/>
            <w:tcBorders>
              <w:top w:val="nil"/>
              <w:left w:val="nil"/>
              <w:bottom w:val="nil"/>
              <w:right w:val="nil"/>
            </w:tcBorders>
            <w:shd w:val="clear" w:color="000000" w:fill="D9D9D9"/>
            <w:noWrap/>
            <w:vAlign w:val="bottom"/>
            <w:hideMark/>
          </w:tcPr>
          <w:p w14:paraId="63F2EC55"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18</w:t>
            </w:r>
          </w:p>
        </w:tc>
        <w:tc>
          <w:tcPr>
            <w:tcW w:w="1600" w:type="dxa"/>
            <w:tcBorders>
              <w:top w:val="nil"/>
              <w:left w:val="nil"/>
              <w:bottom w:val="nil"/>
              <w:right w:val="single" w:sz="8" w:space="0" w:color="auto"/>
            </w:tcBorders>
            <w:shd w:val="clear" w:color="000000" w:fill="D9D9D9"/>
            <w:noWrap/>
            <w:vAlign w:val="bottom"/>
            <w:hideMark/>
          </w:tcPr>
          <w:p w14:paraId="79615616"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11</w:t>
            </w:r>
          </w:p>
        </w:tc>
      </w:tr>
      <w:tr w:rsidR="00CB3F0E" w:rsidRPr="00CB3F0E" w14:paraId="638ABC57"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2EF8F480"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Energy Plus</w:t>
            </w:r>
          </w:p>
        </w:tc>
        <w:tc>
          <w:tcPr>
            <w:tcW w:w="1520" w:type="dxa"/>
            <w:tcBorders>
              <w:top w:val="nil"/>
              <w:left w:val="nil"/>
              <w:bottom w:val="nil"/>
              <w:right w:val="nil"/>
            </w:tcBorders>
            <w:shd w:val="clear" w:color="auto" w:fill="auto"/>
            <w:noWrap/>
            <w:vAlign w:val="bottom"/>
            <w:hideMark/>
          </w:tcPr>
          <w:p w14:paraId="1FC89231"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13</w:t>
            </w:r>
          </w:p>
        </w:tc>
        <w:tc>
          <w:tcPr>
            <w:tcW w:w="1600" w:type="dxa"/>
            <w:tcBorders>
              <w:top w:val="nil"/>
              <w:left w:val="nil"/>
              <w:bottom w:val="nil"/>
              <w:right w:val="single" w:sz="8" w:space="0" w:color="auto"/>
            </w:tcBorders>
            <w:shd w:val="clear" w:color="auto" w:fill="auto"/>
            <w:noWrap/>
            <w:vAlign w:val="bottom"/>
            <w:hideMark/>
          </w:tcPr>
          <w:p w14:paraId="6C9D2469"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w:t>
            </w:r>
          </w:p>
        </w:tc>
      </w:tr>
      <w:tr w:rsidR="00CB3F0E" w:rsidRPr="00CB3F0E" w14:paraId="645B96D6"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5C683A88"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Clearview</w:t>
            </w:r>
          </w:p>
        </w:tc>
        <w:tc>
          <w:tcPr>
            <w:tcW w:w="1520" w:type="dxa"/>
            <w:tcBorders>
              <w:top w:val="nil"/>
              <w:left w:val="nil"/>
              <w:bottom w:val="nil"/>
              <w:right w:val="nil"/>
            </w:tcBorders>
            <w:shd w:val="clear" w:color="000000" w:fill="D9D9D9"/>
            <w:noWrap/>
            <w:vAlign w:val="bottom"/>
            <w:hideMark/>
          </w:tcPr>
          <w:p w14:paraId="259A66F3"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10</w:t>
            </w:r>
          </w:p>
        </w:tc>
        <w:tc>
          <w:tcPr>
            <w:tcW w:w="1600" w:type="dxa"/>
            <w:tcBorders>
              <w:top w:val="nil"/>
              <w:left w:val="nil"/>
              <w:bottom w:val="nil"/>
              <w:right w:val="single" w:sz="8" w:space="0" w:color="auto"/>
            </w:tcBorders>
            <w:shd w:val="clear" w:color="000000" w:fill="D9D9D9"/>
            <w:noWrap/>
            <w:vAlign w:val="bottom"/>
            <w:hideMark/>
          </w:tcPr>
          <w:p w14:paraId="2F6C2F33"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4</w:t>
            </w:r>
          </w:p>
        </w:tc>
      </w:tr>
      <w:tr w:rsidR="00CB3F0E" w:rsidRPr="00CB3F0E" w14:paraId="75303873"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28B66B62"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Palmco Power</w:t>
            </w:r>
          </w:p>
        </w:tc>
        <w:tc>
          <w:tcPr>
            <w:tcW w:w="1520" w:type="dxa"/>
            <w:tcBorders>
              <w:top w:val="nil"/>
              <w:left w:val="nil"/>
              <w:bottom w:val="nil"/>
              <w:right w:val="nil"/>
            </w:tcBorders>
            <w:shd w:val="clear" w:color="auto" w:fill="auto"/>
            <w:noWrap/>
            <w:vAlign w:val="bottom"/>
            <w:hideMark/>
          </w:tcPr>
          <w:p w14:paraId="794247B2"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10</w:t>
            </w:r>
          </w:p>
        </w:tc>
        <w:tc>
          <w:tcPr>
            <w:tcW w:w="1600" w:type="dxa"/>
            <w:tcBorders>
              <w:top w:val="nil"/>
              <w:left w:val="nil"/>
              <w:bottom w:val="nil"/>
              <w:right w:val="single" w:sz="8" w:space="0" w:color="auto"/>
            </w:tcBorders>
            <w:shd w:val="clear" w:color="auto" w:fill="auto"/>
            <w:noWrap/>
            <w:vAlign w:val="bottom"/>
            <w:hideMark/>
          </w:tcPr>
          <w:p w14:paraId="7EC5613C"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w:t>
            </w:r>
          </w:p>
        </w:tc>
      </w:tr>
      <w:tr w:rsidR="00CB3F0E" w:rsidRPr="00CB3F0E" w14:paraId="24A7993F"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55F28525"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Discount Power</w:t>
            </w:r>
          </w:p>
        </w:tc>
        <w:tc>
          <w:tcPr>
            <w:tcW w:w="1520" w:type="dxa"/>
            <w:tcBorders>
              <w:top w:val="nil"/>
              <w:left w:val="nil"/>
              <w:bottom w:val="nil"/>
              <w:right w:val="nil"/>
            </w:tcBorders>
            <w:shd w:val="clear" w:color="000000" w:fill="D9D9D9"/>
            <w:noWrap/>
            <w:vAlign w:val="bottom"/>
            <w:hideMark/>
          </w:tcPr>
          <w:p w14:paraId="53EAAF89"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8</w:t>
            </w:r>
          </w:p>
        </w:tc>
        <w:tc>
          <w:tcPr>
            <w:tcW w:w="1600" w:type="dxa"/>
            <w:tcBorders>
              <w:top w:val="nil"/>
              <w:left w:val="nil"/>
              <w:bottom w:val="nil"/>
              <w:right w:val="single" w:sz="8" w:space="0" w:color="auto"/>
            </w:tcBorders>
            <w:shd w:val="clear" w:color="000000" w:fill="D9D9D9"/>
            <w:noWrap/>
            <w:vAlign w:val="bottom"/>
            <w:hideMark/>
          </w:tcPr>
          <w:p w14:paraId="6D5D0577"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4</w:t>
            </w:r>
          </w:p>
        </w:tc>
      </w:tr>
      <w:tr w:rsidR="00CB3F0E" w:rsidRPr="00CB3F0E" w14:paraId="63421794"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4CAED8D5"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Constellation Energy</w:t>
            </w:r>
          </w:p>
        </w:tc>
        <w:tc>
          <w:tcPr>
            <w:tcW w:w="1520" w:type="dxa"/>
            <w:tcBorders>
              <w:top w:val="nil"/>
              <w:left w:val="nil"/>
              <w:bottom w:val="nil"/>
              <w:right w:val="nil"/>
            </w:tcBorders>
            <w:shd w:val="clear" w:color="auto" w:fill="auto"/>
            <w:noWrap/>
            <w:vAlign w:val="bottom"/>
            <w:hideMark/>
          </w:tcPr>
          <w:p w14:paraId="6AC14023"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7</w:t>
            </w:r>
          </w:p>
        </w:tc>
        <w:tc>
          <w:tcPr>
            <w:tcW w:w="1600" w:type="dxa"/>
            <w:tcBorders>
              <w:top w:val="nil"/>
              <w:left w:val="nil"/>
              <w:bottom w:val="nil"/>
              <w:right w:val="single" w:sz="8" w:space="0" w:color="auto"/>
            </w:tcBorders>
            <w:shd w:val="clear" w:color="auto" w:fill="auto"/>
            <w:noWrap/>
            <w:vAlign w:val="bottom"/>
            <w:hideMark/>
          </w:tcPr>
          <w:p w14:paraId="12C679FA"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3</w:t>
            </w:r>
          </w:p>
        </w:tc>
      </w:tr>
      <w:tr w:rsidR="00CB3F0E" w:rsidRPr="00CB3F0E" w14:paraId="48B6887B"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798F6599"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Liberty Power</w:t>
            </w:r>
          </w:p>
        </w:tc>
        <w:tc>
          <w:tcPr>
            <w:tcW w:w="1520" w:type="dxa"/>
            <w:tcBorders>
              <w:top w:val="nil"/>
              <w:left w:val="nil"/>
              <w:bottom w:val="nil"/>
              <w:right w:val="nil"/>
            </w:tcBorders>
            <w:shd w:val="clear" w:color="000000" w:fill="D9D9D9"/>
            <w:noWrap/>
            <w:vAlign w:val="bottom"/>
            <w:hideMark/>
          </w:tcPr>
          <w:p w14:paraId="0D39A0D0"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7</w:t>
            </w:r>
          </w:p>
        </w:tc>
        <w:tc>
          <w:tcPr>
            <w:tcW w:w="1600" w:type="dxa"/>
            <w:tcBorders>
              <w:top w:val="nil"/>
              <w:left w:val="nil"/>
              <w:bottom w:val="nil"/>
              <w:right w:val="single" w:sz="8" w:space="0" w:color="auto"/>
            </w:tcBorders>
            <w:shd w:val="clear" w:color="000000" w:fill="D9D9D9"/>
            <w:noWrap/>
            <w:vAlign w:val="bottom"/>
            <w:hideMark/>
          </w:tcPr>
          <w:p w14:paraId="76DAF359"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w:t>
            </w:r>
          </w:p>
        </w:tc>
      </w:tr>
      <w:tr w:rsidR="00CB3F0E" w:rsidRPr="00CB3F0E" w14:paraId="04794444"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1D9EA6EF"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Con Edison Solutions</w:t>
            </w:r>
          </w:p>
        </w:tc>
        <w:tc>
          <w:tcPr>
            <w:tcW w:w="1520" w:type="dxa"/>
            <w:tcBorders>
              <w:top w:val="nil"/>
              <w:left w:val="nil"/>
              <w:bottom w:val="nil"/>
              <w:right w:val="nil"/>
            </w:tcBorders>
            <w:shd w:val="clear" w:color="auto" w:fill="auto"/>
            <w:noWrap/>
            <w:vAlign w:val="bottom"/>
            <w:hideMark/>
          </w:tcPr>
          <w:p w14:paraId="6A76E6E7"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3</w:t>
            </w:r>
          </w:p>
        </w:tc>
        <w:tc>
          <w:tcPr>
            <w:tcW w:w="1600" w:type="dxa"/>
            <w:tcBorders>
              <w:top w:val="nil"/>
              <w:left w:val="nil"/>
              <w:bottom w:val="nil"/>
              <w:right w:val="single" w:sz="8" w:space="0" w:color="auto"/>
            </w:tcBorders>
            <w:shd w:val="clear" w:color="auto" w:fill="auto"/>
            <w:noWrap/>
            <w:vAlign w:val="bottom"/>
            <w:hideMark/>
          </w:tcPr>
          <w:p w14:paraId="6E852214"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w:t>
            </w:r>
          </w:p>
        </w:tc>
      </w:tr>
      <w:tr w:rsidR="00CB3F0E" w:rsidRPr="00CB3F0E" w14:paraId="71978C3D"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3B3CA6DE"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XOOM Energy</w:t>
            </w:r>
          </w:p>
        </w:tc>
        <w:tc>
          <w:tcPr>
            <w:tcW w:w="1520" w:type="dxa"/>
            <w:tcBorders>
              <w:top w:val="nil"/>
              <w:left w:val="nil"/>
              <w:bottom w:val="nil"/>
              <w:right w:val="nil"/>
            </w:tcBorders>
            <w:shd w:val="clear" w:color="000000" w:fill="D9D9D9"/>
            <w:noWrap/>
            <w:vAlign w:val="bottom"/>
            <w:hideMark/>
          </w:tcPr>
          <w:p w14:paraId="20DA550A"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3</w:t>
            </w:r>
          </w:p>
        </w:tc>
        <w:tc>
          <w:tcPr>
            <w:tcW w:w="1600" w:type="dxa"/>
            <w:tcBorders>
              <w:top w:val="nil"/>
              <w:left w:val="nil"/>
              <w:bottom w:val="nil"/>
              <w:right w:val="single" w:sz="8" w:space="0" w:color="auto"/>
            </w:tcBorders>
            <w:shd w:val="clear" w:color="000000" w:fill="D9D9D9"/>
            <w:noWrap/>
            <w:vAlign w:val="bottom"/>
            <w:hideMark/>
          </w:tcPr>
          <w:p w14:paraId="72FD118F"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w:t>
            </w:r>
          </w:p>
        </w:tc>
      </w:tr>
      <w:tr w:rsidR="00CB3F0E" w:rsidRPr="00CB3F0E" w14:paraId="4425AA00"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5DEBF293"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HOP Energy LLC</w:t>
            </w:r>
          </w:p>
        </w:tc>
        <w:tc>
          <w:tcPr>
            <w:tcW w:w="1520" w:type="dxa"/>
            <w:tcBorders>
              <w:top w:val="nil"/>
              <w:left w:val="nil"/>
              <w:bottom w:val="nil"/>
              <w:right w:val="nil"/>
            </w:tcBorders>
            <w:shd w:val="clear" w:color="auto" w:fill="auto"/>
            <w:noWrap/>
            <w:vAlign w:val="bottom"/>
            <w:hideMark/>
          </w:tcPr>
          <w:p w14:paraId="3FC5D954"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w:t>
            </w:r>
          </w:p>
        </w:tc>
        <w:tc>
          <w:tcPr>
            <w:tcW w:w="1600" w:type="dxa"/>
            <w:tcBorders>
              <w:top w:val="nil"/>
              <w:left w:val="nil"/>
              <w:bottom w:val="nil"/>
              <w:right w:val="single" w:sz="8" w:space="0" w:color="auto"/>
            </w:tcBorders>
            <w:shd w:val="clear" w:color="auto" w:fill="auto"/>
            <w:noWrap/>
            <w:vAlign w:val="bottom"/>
            <w:hideMark/>
          </w:tcPr>
          <w:p w14:paraId="242F42E2"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0</w:t>
            </w:r>
          </w:p>
        </w:tc>
      </w:tr>
      <w:tr w:rsidR="00CB3F0E" w:rsidRPr="00CB3F0E" w14:paraId="7DBC3E48"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73F789EE"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Spark</w:t>
            </w:r>
          </w:p>
        </w:tc>
        <w:tc>
          <w:tcPr>
            <w:tcW w:w="1520" w:type="dxa"/>
            <w:tcBorders>
              <w:top w:val="nil"/>
              <w:left w:val="nil"/>
              <w:bottom w:val="nil"/>
              <w:right w:val="nil"/>
            </w:tcBorders>
            <w:shd w:val="clear" w:color="000000" w:fill="D9D9D9"/>
            <w:noWrap/>
            <w:vAlign w:val="bottom"/>
            <w:hideMark/>
          </w:tcPr>
          <w:p w14:paraId="7A7357AF"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w:t>
            </w:r>
          </w:p>
        </w:tc>
        <w:tc>
          <w:tcPr>
            <w:tcW w:w="1600" w:type="dxa"/>
            <w:tcBorders>
              <w:top w:val="nil"/>
              <w:left w:val="nil"/>
              <w:bottom w:val="nil"/>
              <w:right w:val="single" w:sz="8" w:space="0" w:color="auto"/>
            </w:tcBorders>
            <w:shd w:val="clear" w:color="000000" w:fill="D9D9D9"/>
            <w:noWrap/>
            <w:vAlign w:val="bottom"/>
            <w:hideMark/>
          </w:tcPr>
          <w:p w14:paraId="35F7C7E4"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w:t>
            </w:r>
          </w:p>
        </w:tc>
      </w:tr>
      <w:tr w:rsidR="00CB3F0E" w:rsidRPr="00CB3F0E" w14:paraId="38C8CCA1"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39AE42CC"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Town Square Energy</w:t>
            </w:r>
          </w:p>
        </w:tc>
        <w:tc>
          <w:tcPr>
            <w:tcW w:w="1520" w:type="dxa"/>
            <w:tcBorders>
              <w:top w:val="nil"/>
              <w:left w:val="nil"/>
              <w:bottom w:val="nil"/>
              <w:right w:val="nil"/>
            </w:tcBorders>
            <w:shd w:val="clear" w:color="auto" w:fill="auto"/>
            <w:noWrap/>
            <w:vAlign w:val="bottom"/>
            <w:hideMark/>
          </w:tcPr>
          <w:p w14:paraId="6D4562A6"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2</w:t>
            </w:r>
          </w:p>
        </w:tc>
        <w:tc>
          <w:tcPr>
            <w:tcW w:w="1600" w:type="dxa"/>
            <w:tcBorders>
              <w:top w:val="nil"/>
              <w:left w:val="nil"/>
              <w:bottom w:val="nil"/>
              <w:right w:val="single" w:sz="8" w:space="0" w:color="auto"/>
            </w:tcBorders>
            <w:shd w:val="clear" w:color="auto" w:fill="auto"/>
            <w:noWrap/>
            <w:vAlign w:val="bottom"/>
            <w:hideMark/>
          </w:tcPr>
          <w:p w14:paraId="19E672A4"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w:t>
            </w:r>
          </w:p>
        </w:tc>
      </w:tr>
      <w:tr w:rsidR="00CB3F0E" w:rsidRPr="00CB3F0E" w14:paraId="3B5F14EB" w14:textId="77777777" w:rsidTr="00CB3F0E">
        <w:trPr>
          <w:trHeight w:val="280"/>
          <w:jc w:val="center"/>
        </w:trPr>
        <w:tc>
          <w:tcPr>
            <w:tcW w:w="3240" w:type="dxa"/>
            <w:tcBorders>
              <w:top w:val="nil"/>
              <w:left w:val="single" w:sz="8" w:space="0" w:color="auto"/>
              <w:bottom w:val="nil"/>
              <w:right w:val="nil"/>
            </w:tcBorders>
            <w:shd w:val="clear" w:color="000000" w:fill="D9D9D9"/>
            <w:noWrap/>
            <w:vAlign w:val="bottom"/>
            <w:hideMark/>
          </w:tcPr>
          <w:p w14:paraId="0A5F082B"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Aequitas</w:t>
            </w:r>
          </w:p>
        </w:tc>
        <w:tc>
          <w:tcPr>
            <w:tcW w:w="1520" w:type="dxa"/>
            <w:tcBorders>
              <w:top w:val="nil"/>
              <w:left w:val="nil"/>
              <w:bottom w:val="nil"/>
              <w:right w:val="nil"/>
            </w:tcBorders>
            <w:shd w:val="clear" w:color="000000" w:fill="D9D9D9"/>
            <w:noWrap/>
            <w:vAlign w:val="bottom"/>
            <w:hideMark/>
          </w:tcPr>
          <w:p w14:paraId="7AC91EA0"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w:t>
            </w:r>
          </w:p>
        </w:tc>
        <w:tc>
          <w:tcPr>
            <w:tcW w:w="1600" w:type="dxa"/>
            <w:tcBorders>
              <w:top w:val="nil"/>
              <w:left w:val="nil"/>
              <w:bottom w:val="nil"/>
              <w:right w:val="single" w:sz="8" w:space="0" w:color="auto"/>
            </w:tcBorders>
            <w:shd w:val="clear" w:color="000000" w:fill="D9D9D9"/>
            <w:noWrap/>
            <w:vAlign w:val="bottom"/>
            <w:hideMark/>
          </w:tcPr>
          <w:p w14:paraId="10A8EB7F"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0</w:t>
            </w:r>
          </w:p>
        </w:tc>
      </w:tr>
      <w:tr w:rsidR="00CB3F0E" w:rsidRPr="00CB3F0E" w14:paraId="3F0E43D5" w14:textId="77777777" w:rsidTr="00CB3F0E">
        <w:trPr>
          <w:trHeight w:val="280"/>
          <w:jc w:val="center"/>
        </w:trPr>
        <w:tc>
          <w:tcPr>
            <w:tcW w:w="3240" w:type="dxa"/>
            <w:tcBorders>
              <w:top w:val="nil"/>
              <w:left w:val="single" w:sz="8" w:space="0" w:color="auto"/>
              <w:bottom w:val="nil"/>
              <w:right w:val="nil"/>
            </w:tcBorders>
            <w:shd w:val="clear" w:color="auto" w:fill="auto"/>
            <w:noWrap/>
            <w:vAlign w:val="bottom"/>
            <w:hideMark/>
          </w:tcPr>
          <w:p w14:paraId="49B25489" w14:textId="77777777" w:rsidR="00CB3F0E" w:rsidRPr="00CB3F0E" w:rsidRDefault="00CB3F0E" w:rsidP="00B7138F">
            <w:pPr>
              <w:keepNext/>
              <w:keepLines/>
              <w:widowControl/>
              <w:autoSpaceDE/>
              <w:autoSpaceDN/>
              <w:adjustRightInd/>
              <w:rPr>
                <w:color w:val="000000"/>
                <w:sz w:val="22"/>
                <w:szCs w:val="22"/>
              </w:rPr>
            </w:pPr>
            <w:r w:rsidRPr="00CB3F0E">
              <w:rPr>
                <w:color w:val="000000"/>
                <w:sz w:val="22"/>
                <w:szCs w:val="22"/>
              </w:rPr>
              <w:t>Verde</w:t>
            </w:r>
          </w:p>
        </w:tc>
        <w:tc>
          <w:tcPr>
            <w:tcW w:w="1520" w:type="dxa"/>
            <w:tcBorders>
              <w:top w:val="nil"/>
              <w:left w:val="nil"/>
              <w:bottom w:val="nil"/>
              <w:right w:val="nil"/>
            </w:tcBorders>
            <w:shd w:val="clear" w:color="auto" w:fill="auto"/>
            <w:noWrap/>
            <w:vAlign w:val="bottom"/>
            <w:hideMark/>
          </w:tcPr>
          <w:p w14:paraId="5961EB74"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w:t>
            </w:r>
          </w:p>
        </w:tc>
        <w:tc>
          <w:tcPr>
            <w:tcW w:w="1600" w:type="dxa"/>
            <w:tcBorders>
              <w:top w:val="nil"/>
              <w:left w:val="nil"/>
              <w:bottom w:val="nil"/>
              <w:right w:val="single" w:sz="8" w:space="0" w:color="auto"/>
            </w:tcBorders>
            <w:shd w:val="clear" w:color="auto" w:fill="auto"/>
            <w:noWrap/>
            <w:vAlign w:val="bottom"/>
            <w:hideMark/>
          </w:tcPr>
          <w:p w14:paraId="1C929942"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0</w:t>
            </w:r>
          </w:p>
        </w:tc>
      </w:tr>
      <w:tr w:rsidR="00CB3F0E" w:rsidRPr="00CB3F0E" w14:paraId="0B4FC088" w14:textId="77777777" w:rsidTr="00CB3F0E">
        <w:trPr>
          <w:trHeight w:val="351"/>
          <w:jc w:val="center"/>
        </w:trPr>
        <w:tc>
          <w:tcPr>
            <w:tcW w:w="3240" w:type="dxa"/>
            <w:tcBorders>
              <w:top w:val="nil"/>
              <w:left w:val="single" w:sz="8" w:space="0" w:color="auto"/>
              <w:bottom w:val="single" w:sz="8" w:space="0" w:color="auto"/>
              <w:right w:val="nil"/>
            </w:tcBorders>
            <w:shd w:val="clear" w:color="000000" w:fill="BFBFBF"/>
            <w:noWrap/>
            <w:vAlign w:val="bottom"/>
            <w:hideMark/>
          </w:tcPr>
          <w:p w14:paraId="214D0777" w14:textId="77777777" w:rsidR="00CB3F0E" w:rsidRPr="00CB3F0E" w:rsidRDefault="00CB3F0E" w:rsidP="00B7138F">
            <w:pPr>
              <w:keepNext/>
              <w:keepLines/>
              <w:widowControl/>
              <w:autoSpaceDE/>
              <w:autoSpaceDN/>
              <w:adjustRightInd/>
              <w:rPr>
                <w:b/>
                <w:bCs/>
                <w:color w:val="000000"/>
                <w:sz w:val="22"/>
                <w:szCs w:val="22"/>
              </w:rPr>
            </w:pPr>
            <w:r w:rsidRPr="00CB3F0E">
              <w:rPr>
                <w:b/>
                <w:bCs/>
                <w:color w:val="000000"/>
                <w:sz w:val="22"/>
                <w:szCs w:val="22"/>
              </w:rPr>
              <w:t>TOTALS</w:t>
            </w:r>
          </w:p>
        </w:tc>
        <w:tc>
          <w:tcPr>
            <w:tcW w:w="1520" w:type="dxa"/>
            <w:tcBorders>
              <w:top w:val="nil"/>
              <w:left w:val="nil"/>
              <w:bottom w:val="single" w:sz="8" w:space="0" w:color="auto"/>
              <w:right w:val="nil"/>
            </w:tcBorders>
            <w:shd w:val="clear" w:color="000000" w:fill="BFBFBF"/>
            <w:noWrap/>
            <w:vAlign w:val="bottom"/>
            <w:hideMark/>
          </w:tcPr>
          <w:p w14:paraId="232425D7"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418</w:t>
            </w:r>
          </w:p>
        </w:tc>
        <w:tc>
          <w:tcPr>
            <w:tcW w:w="1600" w:type="dxa"/>
            <w:tcBorders>
              <w:top w:val="nil"/>
              <w:left w:val="nil"/>
              <w:bottom w:val="single" w:sz="8" w:space="0" w:color="auto"/>
              <w:right w:val="single" w:sz="8" w:space="0" w:color="auto"/>
            </w:tcBorders>
            <w:shd w:val="clear" w:color="000000" w:fill="BFBFBF"/>
            <w:noWrap/>
            <w:vAlign w:val="bottom"/>
            <w:hideMark/>
          </w:tcPr>
          <w:p w14:paraId="3CCC7921" w14:textId="77777777" w:rsidR="00CB3F0E" w:rsidRPr="00CB3F0E" w:rsidRDefault="00CB3F0E" w:rsidP="00B7138F">
            <w:pPr>
              <w:keepNext/>
              <w:keepLines/>
              <w:widowControl/>
              <w:autoSpaceDE/>
              <w:autoSpaceDN/>
              <w:adjustRightInd/>
              <w:jc w:val="right"/>
              <w:rPr>
                <w:color w:val="000000"/>
                <w:sz w:val="22"/>
                <w:szCs w:val="22"/>
              </w:rPr>
            </w:pPr>
            <w:r w:rsidRPr="00CB3F0E">
              <w:rPr>
                <w:color w:val="000000"/>
                <w:sz w:val="22"/>
                <w:szCs w:val="22"/>
              </w:rPr>
              <w:t>153</w:t>
            </w:r>
          </w:p>
        </w:tc>
      </w:tr>
    </w:tbl>
    <w:p w14:paraId="0D99D735" w14:textId="77777777" w:rsidR="00CB3F0E" w:rsidRDefault="00CB3F0E" w:rsidP="00B7138F">
      <w:pPr>
        <w:spacing w:line="480" w:lineRule="auto"/>
        <w:ind w:left="720"/>
        <w:jc w:val="center"/>
        <w:outlineLvl w:val="1"/>
        <w:rPr>
          <w:b/>
        </w:rPr>
      </w:pPr>
    </w:p>
    <w:p w14:paraId="61E1CFC3" w14:textId="77777777" w:rsidR="00940187" w:rsidRDefault="00523FFF" w:rsidP="00B7138F">
      <w:pPr>
        <w:spacing w:line="480" w:lineRule="auto"/>
        <w:outlineLvl w:val="1"/>
      </w:pPr>
      <w:bookmarkStart w:id="35" w:name="_Toc382029124"/>
      <w:r>
        <w:rPr>
          <w:b/>
        </w:rPr>
        <w:t>Aggressive and Misleading Sales Practices</w:t>
      </w:r>
      <w:bookmarkEnd w:id="35"/>
      <w:r>
        <w:t xml:space="preserve"> </w:t>
      </w:r>
    </w:p>
    <w:p w14:paraId="2EEC5EEE" w14:textId="77777777" w:rsidR="00523FFF" w:rsidRDefault="00523FFF" w:rsidP="00302A06">
      <w:pPr>
        <w:spacing w:line="480" w:lineRule="auto"/>
        <w:ind w:left="720" w:hanging="720"/>
        <w:rPr>
          <w:b/>
        </w:rPr>
      </w:pPr>
      <w:r>
        <w:rPr>
          <w:b/>
        </w:rPr>
        <w:t>Q:</w:t>
      </w:r>
      <w:r>
        <w:rPr>
          <w:b/>
        </w:rPr>
        <w:tab/>
        <w:t>Did you count complaints about different aspects of aggressive and misleading sales practices?</w:t>
      </w:r>
    </w:p>
    <w:p w14:paraId="3D02AA4D" w14:textId="77777777" w:rsidR="00523FFF" w:rsidRDefault="00523FFF" w:rsidP="00523FFF">
      <w:pPr>
        <w:spacing w:line="480" w:lineRule="auto"/>
        <w:ind w:left="720" w:hanging="720"/>
      </w:pPr>
      <w:r>
        <w:t>A:</w:t>
      </w:r>
      <w:r>
        <w:tab/>
        <w:t>Yes.  The leading complaint (</w:t>
      </w:r>
      <w:r w:rsidR="00302A06">
        <w:t>260 of them</w:t>
      </w:r>
      <w:r>
        <w:t>) concerned consumers’ concern that they were slammed, sometimes from an EDC and sometimes from another</w:t>
      </w:r>
      <w:r w:rsidR="00A93FF2">
        <w:t xml:space="preserve"> Supplier</w:t>
      </w:r>
      <w:r>
        <w:t xml:space="preserve">.  Even </w:t>
      </w:r>
      <w:r w:rsidR="00402810">
        <w:t xml:space="preserve">though </w:t>
      </w:r>
      <w:r>
        <w:t xml:space="preserve">each and every </w:t>
      </w:r>
      <w:r w:rsidR="00526AC2">
        <w:t xml:space="preserve">instance </w:t>
      </w:r>
      <w:r w:rsidR="00402810">
        <w:t xml:space="preserve">may not have been </w:t>
      </w:r>
      <w:r>
        <w:t>“slamming</w:t>
      </w:r>
      <w:r w:rsidR="00402810">
        <w:t>,</w:t>
      </w:r>
      <w:r>
        <w:t>” the sheer volume suggests that slamming is occurring on a wide scale and furthermore that</w:t>
      </w:r>
      <w:r w:rsidR="00A93FF2">
        <w:t xml:space="preserve"> Supplier</w:t>
      </w:r>
      <w:r>
        <w:t xml:space="preserve">s are not fully informing </w:t>
      </w:r>
      <w:r w:rsidR="00402810">
        <w:t xml:space="preserve">or are misleading </w:t>
      </w:r>
      <w:r>
        <w:t>consumers about the process</w:t>
      </w:r>
      <w:r w:rsidR="00402810">
        <w:t xml:space="preserve"> for selecting a</w:t>
      </w:r>
      <w:r w:rsidR="00A93FF2">
        <w:t xml:space="preserve"> Supplier</w:t>
      </w:r>
      <w:r>
        <w:t xml:space="preserve">.  Related to slamming are the </w:t>
      </w:r>
      <w:r w:rsidR="00526AC2">
        <w:t xml:space="preserve">30 </w:t>
      </w:r>
      <w:r>
        <w:t>“companion” complaints that sales representatives have represented that they are from “the electric utility,” or from “CL&amp;P” or from “UI.”  In one instance a consumer related that a door-to-door</w:t>
      </w:r>
      <w:r w:rsidR="00A93FF2">
        <w:t xml:space="preserve"> Supplier</w:t>
      </w:r>
      <w:r>
        <w:t>’s sales representative said he was from CL&amp;P and when the consumer informed him that it was UI territory</w:t>
      </w:r>
      <w:r w:rsidR="00D15A52">
        <w:t>,</w:t>
      </w:r>
      <w:r>
        <w:t xml:space="preserve"> the sales representative then simply stated that he was from UI.</w:t>
      </w:r>
    </w:p>
    <w:p w14:paraId="2A4C1DA5" w14:textId="77777777" w:rsidR="00206E97" w:rsidRDefault="00206E97" w:rsidP="00523FFF">
      <w:pPr>
        <w:spacing w:line="480" w:lineRule="auto"/>
        <w:ind w:left="720" w:hanging="720"/>
      </w:pPr>
    </w:p>
    <w:p w14:paraId="451A1C55" w14:textId="77777777" w:rsidR="00206E97" w:rsidRDefault="00206E97" w:rsidP="00523FFF">
      <w:pPr>
        <w:spacing w:line="480" w:lineRule="auto"/>
        <w:ind w:left="720" w:hanging="720"/>
      </w:pPr>
      <w:r>
        <w:tab/>
        <w:t xml:space="preserve">As Table </w:t>
      </w:r>
      <w:r w:rsidR="00BB64FF">
        <w:t>6</w:t>
      </w:r>
      <w:r>
        <w:t xml:space="preserve"> shows, phone harassment is a frequent complaint, with 76, or almost 10% of all PURA Intake Forms</w:t>
      </w:r>
      <w:r w:rsidR="001E4A12">
        <w:t>,</w:t>
      </w:r>
      <w:r>
        <w:t xml:space="preserve"> referring to being called repeatedly by a single</w:t>
      </w:r>
      <w:r w:rsidR="00A93FF2">
        <w:t xml:space="preserve"> Supplier</w:t>
      </w:r>
      <w:r>
        <w:t xml:space="preserve">, even after the consumer has repeatedly requested that the calls stop. </w:t>
      </w:r>
      <w:r w:rsidR="00070E5E">
        <w:t xml:space="preserve"> This table excludes</w:t>
      </w:r>
      <w:r w:rsidR="00A93FF2">
        <w:t xml:space="preserve"> Supplier</w:t>
      </w:r>
      <w:r w:rsidR="00070E5E">
        <w:t>s for which no complaints were recorded in this category.</w:t>
      </w:r>
    </w:p>
    <w:p w14:paraId="15BDB71B" w14:textId="77777777" w:rsidR="007E70FE" w:rsidRDefault="00206E97" w:rsidP="00070E5E">
      <w:pPr>
        <w:keepNext/>
        <w:keepLines/>
        <w:ind w:left="720" w:hanging="720"/>
        <w:jc w:val="center"/>
        <w:rPr>
          <w:b/>
        </w:rPr>
      </w:pPr>
      <w:r>
        <w:br w:type="page"/>
      </w:r>
      <w:r w:rsidR="00BB64FF">
        <w:rPr>
          <w:b/>
        </w:rPr>
        <w:t>Table 6</w:t>
      </w:r>
    </w:p>
    <w:p w14:paraId="2A265290" w14:textId="77777777" w:rsidR="00940187" w:rsidRDefault="00940187" w:rsidP="00070E5E">
      <w:pPr>
        <w:keepNext/>
        <w:keepLines/>
        <w:jc w:val="center"/>
        <w:rPr>
          <w:b/>
        </w:rPr>
      </w:pPr>
      <w:r w:rsidRPr="00940187">
        <w:rPr>
          <w:b/>
        </w:rPr>
        <w:t>Complaints - Aggressive and Misleading Sales Practices</w:t>
      </w:r>
    </w:p>
    <w:p w14:paraId="1B3A2A4B" w14:textId="77777777" w:rsidR="007E70FE" w:rsidRDefault="007E70FE" w:rsidP="00070E5E">
      <w:pPr>
        <w:keepNext/>
        <w:keepLines/>
        <w:ind w:left="720" w:hanging="720"/>
        <w:jc w:val="center"/>
        <w:rPr>
          <w:b/>
        </w:rPr>
      </w:pPr>
    </w:p>
    <w:tbl>
      <w:tblPr>
        <w:tblW w:w="9592" w:type="dxa"/>
        <w:jc w:val="center"/>
        <w:tblLayout w:type="fixed"/>
        <w:tblLook w:val="04A0" w:firstRow="1" w:lastRow="0" w:firstColumn="1" w:lastColumn="0" w:noHBand="0" w:noVBand="1"/>
      </w:tblPr>
      <w:tblGrid>
        <w:gridCol w:w="2895"/>
        <w:gridCol w:w="838"/>
        <w:gridCol w:w="837"/>
        <w:gridCol w:w="837"/>
        <w:gridCol w:w="837"/>
        <w:gridCol w:w="837"/>
        <w:gridCol w:w="837"/>
        <w:gridCol w:w="837"/>
        <w:gridCol w:w="837"/>
      </w:tblGrid>
      <w:tr w:rsidR="000C4767" w:rsidRPr="000C4767" w14:paraId="1D246F97" w14:textId="77777777" w:rsidTr="004E4CA9">
        <w:trPr>
          <w:cantSplit/>
          <w:trHeight w:val="2086"/>
          <w:jc w:val="center"/>
        </w:trPr>
        <w:tc>
          <w:tcPr>
            <w:tcW w:w="2895" w:type="dxa"/>
            <w:tcBorders>
              <w:top w:val="single" w:sz="8" w:space="0" w:color="auto"/>
              <w:left w:val="single" w:sz="8" w:space="0" w:color="auto"/>
              <w:right w:val="nil"/>
            </w:tcBorders>
            <w:shd w:val="clear" w:color="auto" w:fill="auto"/>
            <w:noWrap/>
            <w:vAlign w:val="center"/>
            <w:hideMark/>
          </w:tcPr>
          <w:p w14:paraId="217539C4" w14:textId="77777777" w:rsidR="000C4767" w:rsidRPr="000C4767" w:rsidRDefault="000C4767" w:rsidP="00070E5E">
            <w:pPr>
              <w:keepNext/>
              <w:keepLines/>
              <w:widowControl/>
              <w:autoSpaceDE/>
              <w:autoSpaceDN/>
              <w:adjustRightInd/>
              <w:jc w:val="center"/>
              <w:rPr>
                <w:b/>
                <w:bCs/>
                <w:color w:val="000000"/>
                <w:sz w:val="22"/>
                <w:szCs w:val="22"/>
              </w:rPr>
            </w:pPr>
            <w:r w:rsidRPr="000C4767">
              <w:rPr>
                <w:b/>
                <w:bCs/>
                <w:color w:val="000000"/>
                <w:sz w:val="22"/>
                <w:szCs w:val="22"/>
              </w:rPr>
              <w:t>Supplier</w:t>
            </w:r>
          </w:p>
        </w:tc>
        <w:tc>
          <w:tcPr>
            <w:tcW w:w="838" w:type="dxa"/>
            <w:tcBorders>
              <w:top w:val="single" w:sz="8" w:space="0" w:color="auto"/>
              <w:left w:val="single" w:sz="8" w:space="0" w:color="auto"/>
              <w:right w:val="single" w:sz="4" w:space="0" w:color="auto"/>
            </w:tcBorders>
            <w:shd w:val="clear" w:color="000000" w:fill="FFFFFF"/>
            <w:textDirection w:val="btLr"/>
            <w:vAlign w:val="center"/>
            <w:hideMark/>
          </w:tcPr>
          <w:p w14:paraId="2935E8B9"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Phone harassment</w:t>
            </w:r>
          </w:p>
        </w:tc>
        <w:tc>
          <w:tcPr>
            <w:tcW w:w="837" w:type="dxa"/>
            <w:tcBorders>
              <w:top w:val="single" w:sz="8" w:space="0" w:color="auto"/>
              <w:left w:val="nil"/>
              <w:right w:val="single" w:sz="4" w:space="0" w:color="auto"/>
            </w:tcBorders>
            <w:shd w:val="clear" w:color="000000" w:fill="FFFFFF"/>
            <w:textDirection w:val="btLr"/>
            <w:vAlign w:val="center"/>
            <w:hideMark/>
          </w:tcPr>
          <w:p w14:paraId="142DD6DA"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Badgered by door-to-door sales reps</w:t>
            </w:r>
          </w:p>
        </w:tc>
        <w:tc>
          <w:tcPr>
            <w:tcW w:w="837" w:type="dxa"/>
            <w:tcBorders>
              <w:top w:val="single" w:sz="8" w:space="0" w:color="auto"/>
              <w:left w:val="nil"/>
              <w:right w:val="single" w:sz="4" w:space="0" w:color="auto"/>
            </w:tcBorders>
            <w:shd w:val="clear" w:color="000000" w:fill="FFFFFF"/>
            <w:textDirection w:val="btLr"/>
            <w:vAlign w:val="center"/>
            <w:hideMark/>
          </w:tcPr>
          <w:p w14:paraId="3D983446"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Rep told customer s/he must switch</w:t>
            </w:r>
          </w:p>
        </w:tc>
        <w:tc>
          <w:tcPr>
            <w:tcW w:w="837" w:type="dxa"/>
            <w:tcBorders>
              <w:top w:val="single" w:sz="8" w:space="0" w:color="auto"/>
              <w:left w:val="nil"/>
              <w:right w:val="single" w:sz="4" w:space="0" w:color="auto"/>
            </w:tcBorders>
            <w:shd w:val="clear" w:color="000000" w:fill="FFFFFF"/>
            <w:textDirection w:val="btLr"/>
            <w:vAlign w:val="center"/>
            <w:hideMark/>
          </w:tcPr>
          <w:p w14:paraId="131A3B6C"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Rep said s/he was from CL&amp;P</w:t>
            </w:r>
          </w:p>
        </w:tc>
        <w:tc>
          <w:tcPr>
            <w:tcW w:w="837" w:type="dxa"/>
            <w:tcBorders>
              <w:top w:val="single" w:sz="8" w:space="0" w:color="auto"/>
              <w:left w:val="nil"/>
              <w:right w:val="single" w:sz="4" w:space="0" w:color="auto"/>
            </w:tcBorders>
            <w:shd w:val="clear" w:color="000000" w:fill="FFFFFF"/>
            <w:textDirection w:val="btLr"/>
            <w:vAlign w:val="center"/>
            <w:hideMark/>
          </w:tcPr>
          <w:p w14:paraId="7066577A"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Rep said s/he was              from UI</w:t>
            </w:r>
          </w:p>
        </w:tc>
        <w:tc>
          <w:tcPr>
            <w:tcW w:w="837" w:type="dxa"/>
            <w:tcBorders>
              <w:top w:val="single" w:sz="8" w:space="0" w:color="auto"/>
              <w:left w:val="nil"/>
              <w:right w:val="single" w:sz="4" w:space="0" w:color="auto"/>
            </w:tcBorders>
            <w:shd w:val="clear" w:color="000000" w:fill="FFFFFF"/>
            <w:textDirection w:val="btLr"/>
            <w:vAlign w:val="center"/>
            <w:hideMark/>
          </w:tcPr>
          <w:p w14:paraId="2136DAD5"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Rep forged signature</w:t>
            </w:r>
          </w:p>
        </w:tc>
        <w:tc>
          <w:tcPr>
            <w:tcW w:w="837" w:type="dxa"/>
            <w:tcBorders>
              <w:top w:val="single" w:sz="8" w:space="0" w:color="auto"/>
              <w:left w:val="nil"/>
              <w:right w:val="nil"/>
            </w:tcBorders>
            <w:shd w:val="clear" w:color="000000" w:fill="FFFFFF"/>
            <w:textDirection w:val="btLr"/>
            <w:vAlign w:val="center"/>
            <w:hideMark/>
          </w:tcPr>
          <w:p w14:paraId="5075EC6D"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Slamming</w:t>
            </w:r>
          </w:p>
        </w:tc>
        <w:tc>
          <w:tcPr>
            <w:tcW w:w="837" w:type="dxa"/>
            <w:tcBorders>
              <w:top w:val="single" w:sz="8" w:space="0" w:color="auto"/>
              <w:left w:val="single" w:sz="4" w:space="0" w:color="auto"/>
              <w:right w:val="single" w:sz="8" w:space="0" w:color="auto"/>
            </w:tcBorders>
            <w:shd w:val="clear" w:color="000000" w:fill="FFFFFF"/>
            <w:textDirection w:val="btLr"/>
            <w:vAlign w:val="center"/>
            <w:hideMark/>
          </w:tcPr>
          <w:p w14:paraId="56FC03A3" w14:textId="77777777" w:rsidR="000C4767" w:rsidRPr="000C4767" w:rsidRDefault="000C4767" w:rsidP="00070E5E">
            <w:pPr>
              <w:keepNext/>
              <w:keepLines/>
              <w:widowControl/>
              <w:autoSpaceDE/>
              <w:autoSpaceDN/>
              <w:adjustRightInd/>
              <w:ind w:left="113" w:right="113"/>
              <w:jc w:val="center"/>
              <w:rPr>
                <w:b/>
                <w:bCs/>
                <w:color w:val="000000"/>
                <w:sz w:val="22"/>
                <w:szCs w:val="22"/>
              </w:rPr>
            </w:pPr>
            <w:r w:rsidRPr="000C4767">
              <w:rPr>
                <w:b/>
                <w:bCs/>
                <w:color w:val="000000"/>
                <w:sz w:val="22"/>
                <w:szCs w:val="22"/>
              </w:rPr>
              <w:t>Total</w:t>
            </w:r>
          </w:p>
        </w:tc>
      </w:tr>
      <w:tr w:rsidR="000C4767" w:rsidRPr="000C4767" w14:paraId="77F6CA4B"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19D9B280"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Starion</w:t>
            </w:r>
          </w:p>
        </w:tc>
        <w:tc>
          <w:tcPr>
            <w:tcW w:w="838" w:type="dxa"/>
            <w:tcBorders>
              <w:top w:val="nil"/>
              <w:left w:val="nil"/>
              <w:right w:val="single" w:sz="4" w:space="0" w:color="auto"/>
            </w:tcBorders>
            <w:shd w:val="clear" w:color="000000" w:fill="D9D9D9"/>
            <w:noWrap/>
            <w:vAlign w:val="bottom"/>
            <w:hideMark/>
          </w:tcPr>
          <w:p w14:paraId="4FA1864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02A9515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c>
          <w:tcPr>
            <w:tcW w:w="837" w:type="dxa"/>
            <w:tcBorders>
              <w:top w:val="nil"/>
              <w:left w:val="nil"/>
              <w:right w:val="single" w:sz="4" w:space="0" w:color="auto"/>
            </w:tcBorders>
            <w:shd w:val="clear" w:color="000000" w:fill="D9D9D9"/>
            <w:noWrap/>
            <w:vAlign w:val="bottom"/>
            <w:hideMark/>
          </w:tcPr>
          <w:p w14:paraId="34A1967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3616781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4</w:t>
            </w:r>
          </w:p>
        </w:tc>
        <w:tc>
          <w:tcPr>
            <w:tcW w:w="837" w:type="dxa"/>
            <w:tcBorders>
              <w:top w:val="nil"/>
              <w:left w:val="nil"/>
              <w:right w:val="single" w:sz="4" w:space="0" w:color="auto"/>
            </w:tcBorders>
            <w:shd w:val="clear" w:color="000000" w:fill="D9D9D9"/>
            <w:noWrap/>
            <w:vAlign w:val="bottom"/>
            <w:hideMark/>
          </w:tcPr>
          <w:p w14:paraId="170952C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5BB8BED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c>
          <w:tcPr>
            <w:tcW w:w="837" w:type="dxa"/>
            <w:tcBorders>
              <w:top w:val="nil"/>
              <w:left w:val="nil"/>
              <w:right w:val="nil"/>
            </w:tcBorders>
            <w:shd w:val="clear" w:color="000000" w:fill="D9D9D9"/>
            <w:noWrap/>
            <w:vAlign w:val="bottom"/>
            <w:hideMark/>
          </w:tcPr>
          <w:p w14:paraId="597EC45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106</w:t>
            </w:r>
          </w:p>
        </w:tc>
        <w:tc>
          <w:tcPr>
            <w:tcW w:w="837" w:type="dxa"/>
            <w:tcBorders>
              <w:top w:val="nil"/>
              <w:left w:val="single" w:sz="8" w:space="0" w:color="auto"/>
              <w:right w:val="single" w:sz="8" w:space="0" w:color="auto"/>
            </w:tcBorders>
            <w:shd w:val="clear" w:color="000000" w:fill="D9D9D9"/>
            <w:noWrap/>
            <w:vAlign w:val="bottom"/>
            <w:hideMark/>
          </w:tcPr>
          <w:p w14:paraId="6F3FA70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119</w:t>
            </w:r>
          </w:p>
        </w:tc>
      </w:tr>
      <w:tr w:rsidR="000C4767" w:rsidRPr="000C4767" w14:paraId="7483A776"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51BBA60B"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Public Power &amp; Utility</w:t>
            </w:r>
          </w:p>
        </w:tc>
        <w:tc>
          <w:tcPr>
            <w:tcW w:w="838" w:type="dxa"/>
            <w:tcBorders>
              <w:top w:val="nil"/>
              <w:left w:val="nil"/>
              <w:right w:val="single" w:sz="4" w:space="0" w:color="auto"/>
            </w:tcBorders>
            <w:shd w:val="clear" w:color="auto" w:fill="auto"/>
            <w:noWrap/>
            <w:vAlign w:val="bottom"/>
            <w:hideMark/>
          </w:tcPr>
          <w:p w14:paraId="26DDC52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29</w:t>
            </w:r>
          </w:p>
        </w:tc>
        <w:tc>
          <w:tcPr>
            <w:tcW w:w="837" w:type="dxa"/>
            <w:tcBorders>
              <w:top w:val="nil"/>
              <w:left w:val="nil"/>
              <w:right w:val="single" w:sz="4" w:space="0" w:color="auto"/>
            </w:tcBorders>
            <w:shd w:val="clear" w:color="auto" w:fill="auto"/>
            <w:noWrap/>
            <w:vAlign w:val="bottom"/>
            <w:hideMark/>
          </w:tcPr>
          <w:p w14:paraId="24E0EB6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63B42C9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121F194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5</w:t>
            </w:r>
          </w:p>
        </w:tc>
        <w:tc>
          <w:tcPr>
            <w:tcW w:w="837" w:type="dxa"/>
            <w:tcBorders>
              <w:top w:val="nil"/>
              <w:left w:val="nil"/>
              <w:right w:val="single" w:sz="4" w:space="0" w:color="auto"/>
            </w:tcBorders>
            <w:shd w:val="clear" w:color="auto" w:fill="auto"/>
            <w:noWrap/>
            <w:vAlign w:val="bottom"/>
            <w:hideMark/>
          </w:tcPr>
          <w:p w14:paraId="4E18DD9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nil"/>
              <w:right w:val="single" w:sz="4" w:space="0" w:color="auto"/>
            </w:tcBorders>
            <w:shd w:val="clear" w:color="auto" w:fill="auto"/>
            <w:noWrap/>
            <w:vAlign w:val="bottom"/>
            <w:hideMark/>
          </w:tcPr>
          <w:p w14:paraId="2AFA5AF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nil"/>
            </w:tcBorders>
            <w:shd w:val="clear" w:color="auto" w:fill="auto"/>
            <w:noWrap/>
            <w:vAlign w:val="bottom"/>
            <w:hideMark/>
          </w:tcPr>
          <w:p w14:paraId="6180F03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47</w:t>
            </w:r>
          </w:p>
        </w:tc>
        <w:tc>
          <w:tcPr>
            <w:tcW w:w="837" w:type="dxa"/>
            <w:tcBorders>
              <w:top w:val="nil"/>
              <w:left w:val="single" w:sz="8" w:space="0" w:color="auto"/>
              <w:right w:val="single" w:sz="8" w:space="0" w:color="auto"/>
            </w:tcBorders>
            <w:shd w:val="clear" w:color="auto" w:fill="auto"/>
            <w:noWrap/>
            <w:vAlign w:val="bottom"/>
            <w:hideMark/>
          </w:tcPr>
          <w:p w14:paraId="2A8CBEE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85</w:t>
            </w:r>
          </w:p>
        </w:tc>
      </w:tr>
      <w:tr w:rsidR="000C4767" w:rsidRPr="000C4767" w14:paraId="4DAD205C"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79BC3F04"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Direct Energy</w:t>
            </w:r>
          </w:p>
        </w:tc>
        <w:tc>
          <w:tcPr>
            <w:tcW w:w="838" w:type="dxa"/>
            <w:tcBorders>
              <w:top w:val="nil"/>
              <w:left w:val="nil"/>
              <w:right w:val="single" w:sz="4" w:space="0" w:color="auto"/>
            </w:tcBorders>
            <w:shd w:val="clear" w:color="000000" w:fill="D9D9D9"/>
            <w:noWrap/>
            <w:vAlign w:val="bottom"/>
            <w:hideMark/>
          </w:tcPr>
          <w:p w14:paraId="45CA850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13</w:t>
            </w:r>
          </w:p>
        </w:tc>
        <w:tc>
          <w:tcPr>
            <w:tcW w:w="837" w:type="dxa"/>
            <w:tcBorders>
              <w:top w:val="nil"/>
              <w:left w:val="nil"/>
              <w:right w:val="single" w:sz="4" w:space="0" w:color="auto"/>
            </w:tcBorders>
            <w:shd w:val="clear" w:color="000000" w:fill="D9D9D9"/>
            <w:noWrap/>
            <w:vAlign w:val="bottom"/>
            <w:hideMark/>
          </w:tcPr>
          <w:p w14:paraId="055EFC4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5</w:t>
            </w:r>
          </w:p>
        </w:tc>
        <w:tc>
          <w:tcPr>
            <w:tcW w:w="837" w:type="dxa"/>
            <w:tcBorders>
              <w:top w:val="nil"/>
              <w:left w:val="nil"/>
              <w:right w:val="single" w:sz="4" w:space="0" w:color="auto"/>
            </w:tcBorders>
            <w:shd w:val="clear" w:color="000000" w:fill="D9D9D9"/>
            <w:noWrap/>
            <w:vAlign w:val="bottom"/>
            <w:hideMark/>
          </w:tcPr>
          <w:p w14:paraId="2801A86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62A66B7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nil"/>
              <w:right w:val="single" w:sz="4" w:space="0" w:color="auto"/>
            </w:tcBorders>
            <w:shd w:val="clear" w:color="000000" w:fill="D9D9D9"/>
            <w:noWrap/>
            <w:vAlign w:val="bottom"/>
            <w:hideMark/>
          </w:tcPr>
          <w:p w14:paraId="2576356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42EAD96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46A408D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7</w:t>
            </w:r>
          </w:p>
        </w:tc>
        <w:tc>
          <w:tcPr>
            <w:tcW w:w="837" w:type="dxa"/>
            <w:tcBorders>
              <w:top w:val="nil"/>
              <w:left w:val="single" w:sz="8" w:space="0" w:color="auto"/>
              <w:right w:val="single" w:sz="8" w:space="0" w:color="auto"/>
            </w:tcBorders>
            <w:shd w:val="clear" w:color="000000" w:fill="D9D9D9"/>
            <w:noWrap/>
            <w:vAlign w:val="bottom"/>
            <w:hideMark/>
          </w:tcPr>
          <w:p w14:paraId="1DF4A6B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28</w:t>
            </w:r>
          </w:p>
        </w:tc>
      </w:tr>
      <w:tr w:rsidR="000C4767" w:rsidRPr="000C4767" w14:paraId="580D30D6"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05BF4DC1"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Choice</w:t>
            </w:r>
          </w:p>
        </w:tc>
        <w:tc>
          <w:tcPr>
            <w:tcW w:w="838" w:type="dxa"/>
            <w:tcBorders>
              <w:top w:val="nil"/>
              <w:left w:val="nil"/>
              <w:right w:val="single" w:sz="4" w:space="0" w:color="auto"/>
            </w:tcBorders>
            <w:shd w:val="clear" w:color="auto" w:fill="auto"/>
            <w:noWrap/>
            <w:vAlign w:val="bottom"/>
            <w:hideMark/>
          </w:tcPr>
          <w:p w14:paraId="1716A0E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8</w:t>
            </w:r>
          </w:p>
        </w:tc>
        <w:tc>
          <w:tcPr>
            <w:tcW w:w="837" w:type="dxa"/>
            <w:tcBorders>
              <w:top w:val="nil"/>
              <w:left w:val="nil"/>
              <w:right w:val="single" w:sz="4" w:space="0" w:color="auto"/>
            </w:tcBorders>
            <w:shd w:val="clear" w:color="auto" w:fill="auto"/>
            <w:noWrap/>
            <w:vAlign w:val="bottom"/>
            <w:hideMark/>
          </w:tcPr>
          <w:p w14:paraId="5A27BC2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416AC04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75FF50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774904E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474F1F6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4174F03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10</w:t>
            </w:r>
          </w:p>
        </w:tc>
        <w:tc>
          <w:tcPr>
            <w:tcW w:w="837" w:type="dxa"/>
            <w:tcBorders>
              <w:top w:val="nil"/>
              <w:left w:val="single" w:sz="8" w:space="0" w:color="auto"/>
              <w:right w:val="single" w:sz="8" w:space="0" w:color="auto"/>
            </w:tcBorders>
            <w:shd w:val="clear" w:color="auto" w:fill="auto"/>
            <w:noWrap/>
            <w:vAlign w:val="bottom"/>
            <w:hideMark/>
          </w:tcPr>
          <w:p w14:paraId="3E30252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21</w:t>
            </w:r>
          </w:p>
        </w:tc>
      </w:tr>
      <w:tr w:rsidR="000C4767" w:rsidRPr="000C4767" w14:paraId="3496D8CF"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0D177762"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Clearview</w:t>
            </w:r>
          </w:p>
        </w:tc>
        <w:tc>
          <w:tcPr>
            <w:tcW w:w="838" w:type="dxa"/>
            <w:tcBorders>
              <w:top w:val="nil"/>
              <w:left w:val="nil"/>
              <w:right w:val="single" w:sz="4" w:space="0" w:color="auto"/>
            </w:tcBorders>
            <w:shd w:val="clear" w:color="000000" w:fill="D9D9D9"/>
            <w:noWrap/>
            <w:vAlign w:val="bottom"/>
            <w:hideMark/>
          </w:tcPr>
          <w:p w14:paraId="584BA4D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68FEEB4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1695A8B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677243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23B6203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1CFF831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1155461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18</w:t>
            </w:r>
          </w:p>
        </w:tc>
        <w:tc>
          <w:tcPr>
            <w:tcW w:w="837" w:type="dxa"/>
            <w:tcBorders>
              <w:top w:val="nil"/>
              <w:left w:val="single" w:sz="8" w:space="0" w:color="auto"/>
              <w:right w:val="single" w:sz="8" w:space="0" w:color="auto"/>
            </w:tcBorders>
            <w:shd w:val="clear" w:color="000000" w:fill="D9D9D9"/>
            <w:noWrap/>
            <w:vAlign w:val="bottom"/>
            <w:hideMark/>
          </w:tcPr>
          <w:p w14:paraId="0F6F1C2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20</w:t>
            </w:r>
          </w:p>
        </w:tc>
      </w:tr>
      <w:tr w:rsidR="000C4767" w:rsidRPr="000C4767" w14:paraId="08A33C40"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1A08473B"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Palmco Power</w:t>
            </w:r>
          </w:p>
        </w:tc>
        <w:tc>
          <w:tcPr>
            <w:tcW w:w="838" w:type="dxa"/>
            <w:tcBorders>
              <w:top w:val="nil"/>
              <w:left w:val="nil"/>
              <w:right w:val="single" w:sz="4" w:space="0" w:color="auto"/>
            </w:tcBorders>
            <w:shd w:val="clear" w:color="auto" w:fill="auto"/>
            <w:noWrap/>
            <w:vAlign w:val="bottom"/>
            <w:hideMark/>
          </w:tcPr>
          <w:p w14:paraId="4AA1679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D0FFEC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59AEA40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BD6E10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c>
          <w:tcPr>
            <w:tcW w:w="837" w:type="dxa"/>
            <w:tcBorders>
              <w:top w:val="nil"/>
              <w:left w:val="nil"/>
              <w:right w:val="single" w:sz="4" w:space="0" w:color="auto"/>
            </w:tcBorders>
            <w:shd w:val="clear" w:color="auto" w:fill="auto"/>
            <w:noWrap/>
            <w:vAlign w:val="bottom"/>
            <w:hideMark/>
          </w:tcPr>
          <w:p w14:paraId="1D82BC0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3B7347A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508FE07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14</w:t>
            </w:r>
          </w:p>
        </w:tc>
        <w:tc>
          <w:tcPr>
            <w:tcW w:w="837" w:type="dxa"/>
            <w:tcBorders>
              <w:top w:val="nil"/>
              <w:left w:val="single" w:sz="8" w:space="0" w:color="auto"/>
              <w:right w:val="single" w:sz="8" w:space="0" w:color="auto"/>
            </w:tcBorders>
            <w:shd w:val="clear" w:color="auto" w:fill="auto"/>
            <w:noWrap/>
            <w:vAlign w:val="bottom"/>
            <w:hideMark/>
          </w:tcPr>
          <w:p w14:paraId="3AA28A5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19</w:t>
            </w:r>
          </w:p>
        </w:tc>
      </w:tr>
      <w:tr w:rsidR="000C4767" w:rsidRPr="000C4767" w14:paraId="630096FE"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794B1FA4"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Verde</w:t>
            </w:r>
          </w:p>
        </w:tc>
        <w:tc>
          <w:tcPr>
            <w:tcW w:w="838" w:type="dxa"/>
            <w:tcBorders>
              <w:top w:val="nil"/>
              <w:left w:val="nil"/>
              <w:right w:val="single" w:sz="4" w:space="0" w:color="auto"/>
            </w:tcBorders>
            <w:shd w:val="clear" w:color="000000" w:fill="D9D9D9"/>
            <w:noWrap/>
            <w:vAlign w:val="bottom"/>
            <w:hideMark/>
          </w:tcPr>
          <w:p w14:paraId="5209BFD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5</w:t>
            </w:r>
          </w:p>
        </w:tc>
        <w:tc>
          <w:tcPr>
            <w:tcW w:w="837" w:type="dxa"/>
            <w:tcBorders>
              <w:top w:val="nil"/>
              <w:left w:val="nil"/>
              <w:right w:val="single" w:sz="4" w:space="0" w:color="auto"/>
            </w:tcBorders>
            <w:shd w:val="clear" w:color="000000" w:fill="D9D9D9"/>
            <w:noWrap/>
            <w:vAlign w:val="bottom"/>
            <w:hideMark/>
          </w:tcPr>
          <w:p w14:paraId="5B11EFF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5A30253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411395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4</w:t>
            </w:r>
          </w:p>
        </w:tc>
        <w:tc>
          <w:tcPr>
            <w:tcW w:w="837" w:type="dxa"/>
            <w:tcBorders>
              <w:top w:val="nil"/>
              <w:left w:val="nil"/>
              <w:right w:val="single" w:sz="4" w:space="0" w:color="auto"/>
            </w:tcBorders>
            <w:shd w:val="clear" w:color="000000" w:fill="D9D9D9"/>
            <w:noWrap/>
            <w:vAlign w:val="bottom"/>
            <w:hideMark/>
          </w:tcPr>
          <w:p w14:paraId="23D2014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4A878A2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4CCC156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8</w:t>
            </w:r>
          </w:p>
        </w:tc>
        <w:tc>
          <w:tcPr>
            <w:tcW w:w="837" w:type="dxa"/>
            <w:tcBorders>
              <w:top w:val="nil"/>
              <w:left w:val="single" w:sz="8" w:space="0" w:color="auto"/>
              <w:right w:val="single" w:sz="8" w:space="0" w:color="auto"/>
            </w:tcBorders>
            <w:shd w:val="clear" w:color="000000" w:fill="D9D9D9"/>
            <w:noWrap/>
            <w:vAlign w:val="bottom"/>
            <w:hideMark/>
          </w:tcPr>
          <w:p w14:paraId="4C5E917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18</w:t>
            </w:r>
          </w:p>
        </w:tc>
      </w:tr>
      <w:tr w:rsidR="000C4767" w:rsidRPr="000C4767" w14:paraId="7C7B7108"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28AD70A8"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Discount Power</w:t>
            </w:r>
          </w:p>
        </w:tc>
        <w:tc>
          <w:tcPr>
            <w:tcW w:w="838" w:type="dxa"/>
            <w:tcBorders>
              <w:top w:val="nil"/>
              <w:left w:val="nil"/>
              <w:right w:val="single" w:sz="4" w:space="0" w:color="auto"/>
            </w:tcBorders>
            <w:shd w:val="clear" w:color="auto" w:fill="auto"/>
            <w:noWrap/>
            <w:vAlign w:val="bottom"/>
            <w:hideMark/>
          </w:tcPr>
          <w:p w14:paraId="20C7A37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10</w:t>
            </w:r>
          </w:p>
        </w:tc>
        <w:tc>
          <w:tcPr>
            <w:tcW w:w="837" w:type="dxa"/>
            <w:tcBorders>
              <w:top w:val="nil"/>
              <w:left w:val="nil"/>
              <w:right w:val="single" w:sz="4" w:space="0" w:color="auto"/>
            </w:tcBorders>
            <w:shd w:val="clear" w:color="auto" w:fill="auto"/>
            <w:noWrap/>
            <w:vAlign w:val="bottom"/>
            <w:hideMark/>
          </w:tcPr>
          <w:p w14:paraId="25D6DC2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EC9A34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5889E170"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3C9A6F30"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BA854B0"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53C5AC0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5</w:t>
            </w:r>
          </w:p>
        </w:tc>
        <w:tc>
          <w:tcPr>
            <w:tcW w:w="837" w:type="dxa"/>
            <w:tcBorders>
              <w:top w:val="nil"/>
              <w:left w:val="single" w:sz="8" w:space="0" w:color="auto"/>
              <w:right w:val="single" w:sz="8" w:space="0" w:color="auto"/>
            </w:tcBorders>
            <w:shd w:val="clear" w:color="auto" w:fill="auto"/>
            <w:noWrap/>
            <w:vAlign w:val="bottom"/>
            <w:hideMark/>
          </w:tcPr>
          <w:p w14:paraId="61650B9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16</w:t>
            </w:r>
          </w:p>
        </w:tc>
      </w:tr>
      <w:tr w:rsidR="000C4767" w:rsidRPr="000C4767" w14:paraId="3F428E21"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26AC286F"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Constellation</w:t>
            </w:r>
          </w:p>
        </w:tc>
        <w:tc>
          <w:tcPr>
            <w:tcW w:w="838" w:type="dxa"/>
            <w:tcBorders>
              <w:top w:val="nil"/>
              <w:left w:val="nil"/>
              <w:right w:val="single" w:sz="4" w:space="0" w:color="auto"/>
            </w:tcBorders>
            <w:shd w:val="clear" w:color="000000" w:fill="D9D9D9"/>
            <w:noWrap/>
            <w:vAlign w:val="bottom"/>
            <w:hideMark/>
          </w:tcPr>
          <w:p w14:paraId="3597ECC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2063B94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nil"/>
              <w:right w:val="single" w:sz="4" w:space="0" w:color="auto"/>
            </w:tcBorders>
            <w:shd w:val="clear" w:color="000000" w:fill="D9D9D9"/>
            <w:noWrap/>
            <w:vAlign w:val="bottom"/>
            <w:hideMark/>
          </w:tcPr>
          <w:p w14:paraId="2CC7C5F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702612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nil"/>
              <w:right w:val="single" w:sz="4" w:space="0" w:color="auto"/>
            </w:tcBorders>
            <w:shd w:val="clear" w:color="000000" w:fill="D9D9D9"/>
            <w:noWrap/>
            <w:vAlign w:val="bottom"/>
            <w:hideMark/>
          </w:tcPr>
          <w:p w14:paraId="01561FD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60111D1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0B95602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11</w:t>
            </w:r>
          </w:p>
        </w:tc>
        <w:tc>
          <w:tcPr>
            <w:tcW w:w="837" w:type="dxa"/>
            <w:tcBorders>
              <w:top w:val="nil"/>
              <w:left w:val="single" w:sz="8" w:space="0" w:color="auto"/>
              <w:right w:val="single" w:sz="8" w:space="0" w:color="auto"/>
            </w:tcBorders>
            <w:shd w:val="clear" w:color="000000" w:fill="D9D9D9"/>
            <w:noWrap/>
            <w:vAlign w:val="bottom"/>
            <w:hideMark/>
          </w:tcPr>
          <w:p w14:paraId="7C96C64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15</w:t>
            </w:r>
          </w:p>
        </w:tc>
      </w:tr>
      <w:tr w:rsidR="000C4767" w:rsidRPr="000C4767" w14:paraId="7802E21E"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77536220"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Liberty Power</w:t>
            </w:r>
          </w:p>
        </w:tc>
        <w:tc>
          <w:tcPr>
            <w:tcW w:w="838" w:type="dxa"/>
            <w:tcBorders>
              <w:top w:val="nil"/>
              <w:left w:val="nil"/>
              <w:right w:val="single" w:sz="4" w:space="0" w:color="auto"/>
            </w:tcBorders>
            <w:shd w:val="clear" w:color="auto" w:fill="auto"/>
            <w:noWrap/>
            <w:vAlign w:val="bottom"/>
            <w:hideMark/>
          </w:tcPr>
          <w:p w14:paraId="54E8532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6FCB880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6E2EC54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353AA30"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0BB4A21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BBC38F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6EE1E39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5</w:t>
            </w:r>
          </w:p>
        </w:tc>
        <w:tc>
          <w:tcPr>
            <w:tcW w:w="837" w:type="dxa"/>
            <w:tcBorders>
              <w:top w:val="nil"/>
              <w:left w:val="single" w:sz="8" w:space="0" w:color="auto"/>
              <w:right w:val="single" w:sz="8" w:space="0" w:color="auto"/>
            </w:tcBorders>
            <w:shd w:val="clear" w:color="auto" w:fill="auto"/>
            <w:noWrap/>
            <w:vAlign w:val="bottom"/>
            <w:hideMark/>
          </w:tcPr>
          <w:p w14:paraId="6AE5413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7</w:t>
            </w:r>
          </w:p>
        </w:tc>
      </w:tr>
      <w:tr w:rsidR="000C4767" w:rsidRPr="000C4767" w14:paraId="12F1E39F"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21A999B4"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North American Power &amp; Gas</w:t>
            </w:r>
          </w:p>
        </w:tc>
        <w:tc>
          <w:tcPr>
            <w:tcW w:w="838" w:type="dxa"/>
            <w:tcBorders>
              <w:top w:val="nil"/>
              <w:left w:val="nil"/>
              <w:right w:val="single" w:sz="4" w:space="0" w:color="auto"/>
            </w:tcBorders>
            <w:shd w:val="clear" w:color="000000" w:fill="D9D9D9"/>
            <w:noWrap/>
            <w:vAlign w:val="bottom"/>
            <w:hideMark/>
          </w:tcPr>
          <w:p w14:paraId="027A4B2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28A2234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6F30749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30F6E51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ABF311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63CA3C3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6075823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5</w:t>
            </w:r>
          </w:p>
        </w:tc>
        <w:tc>
          <w:tcPr>
            <w:tcW w:w="837" w:type="dxa"/>
            <w:tcBorders>
              <w:top w:val="nil"/>
              <w:left w:val="single" w:sz="8" w:space="0" w:color="auto"/>
              <w:right w:val="single" w:sz="8" w:space="0" w:color="auto"/>
            </w:tcBorders>
            <w:shd w:val="clear" w:color="000000" w:fill="D9D9D9"/>
            <w:noWrap/>
            <w:vAlign w:val="bottom"/>
            <w:hideMark/>
          </w:tcPr>
          <w:p w14:paraId="17116F9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6</w:t>
            </w:r>
          </w:p>
        </w:tc>
      </w:tr>
      <w:tr w:rsidR="000C4767" w:rsidRPr="000C4767" w14:paraId="1C8F77CF"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64B60B59"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Ambit</w:t>
            </w:r>
          </w:p>
        </w:tc>
        <w:tc>
          <w:tcPr>
            <w:tcW w:w="838" w:type="dxa"/>
            <w:tcBorders>
              <w:top w:val="nil"/>
              <w:left w:val="nil"/>
              <w:right w:val="single" w:sz="4" w:space="0" w:color="auto"/>
            </w:tcBorders>
            <w:shd w:val="clear" w:color="auto" w:fill="auto"/>
            <w:noWrap/>
            <w:vAlign w:val="bottom"/>
            <w:hideMark/>
          </w:tcPr>
          <w:p w14:paraId="36DE453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81196A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5CCAE4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846A31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8EADC1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50AC73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798A10F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4</w:t>
            </w:r>
          </w:p>
        </w:tc>
        <w:tc>
          <w:tcPr>
            <w:tcW w:w="837" w:type="dxa"/>
            <w:tcBorders>
              <w:top w:val="nil"/>
              <w:left w:val="single" w:sz="8" w:space="0" w:color="auto"/>
              <w:right w:val="single" w:sz="8" w:space="0" w:color="auto"/>
            </w:tcBorders>
            <w:shd w:val="clear" w:color="auto" w:fill="auto"/>
            <w:noWrap/>
            <w:vAlign w:val="bottom"/>
            <w:hideMark/>
          </w:tcPr>
          <w:p w14:paraId="40B9376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4</w:t>
            </w:r>
          </w:p>
        </w:tc>
      </w:tr>
      <w:tr w:rsidR="000C4767" w:rsidRPr="000C4767" w14:paraId="20602449"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46F410AC"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CT Gas &amp; Electric</w:t>
            </w:r>
          </w:p>
        </w:tc>
        <w:tc>
          <w:tcPr>
            <w:tcW w:w="838" w:type="dxa"/>
            <w:tcBorders>
              <w:top w:val="nil"/>
              <w:left w:val="nil"/>
              <w:right w:val="single" w:sz="4" w:space="0" w:color="auto"/>
            </w:tcBorders>
            <w:shd w:val="clear" w:color="000000" w:fill="D9D9D9"/>
            <w:noWrap/>
            <w:vAlign w:val="bottom"/>
            <w:hideMark/>
          </w:tcPr>
          <w:p w14:paraId="1C30737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c>
          <w:tcPr>
            <w:tcW w:w="837" w:type="dxa"/>
            <w:tcBorders>
              <w:top w:val="nil"/>
              <w:left w:val="nil"/>
              <w:right w:val="single" w:sz="4" w:space="0" w:color="auto"/>
            </w:tcBorders>
            <w:shd w:val="clear" w:color="000000" w:fill="D9D9D9"/>
            <w:noWrap/>
            <w:vAlign w:val="bottom"/>
            <w:hideMark/>
          </w:tcPr>
          <w:p w14:paraId="09CAAC6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3F44647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3DCE6DB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3354BCF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54E1DFE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7857F6D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single" w:sz="8" w:space="0" w:color="auto"/>
              <w:right w:val="single" w:sz="8" w:space="0" w:color="auto"/>
            </w:tcBorders>
            <w:shd w:val="clear" w:color="000000" w:fill="D9D9D9"/>
            <w:noWrap/>
            <w:vAlign w:val="bottom"/>
            <w:hideMark/>
          </w:tcPr>
          <w:p w14:paraId="61A55FF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4</w:t>
            </w:r>
          </w:p>
        </w:tc>
      </w:tr>
      <w:tr w:rsidR="000C4767" w:rsidRPr="000C4767" w14:paraId="590780A1"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235CC0EA"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Community</w:t>
            </w:r>
          </w:p>
        </w:tc>
        <w:tc>
          <w:tcPr>
            <w:tcW w:w="838" w:type="dxa"/>
            <w:tcBorders>
              <w:top w:val="nil"/>
              <w:left w:val="nil"/>
              <w:right w:val="single" w:sz="4" w:space="0" w:color="auto"/>
            </w:tcBorders>
            <w:shd w:val="clear" w:color="auto" w:fill="auto"/>
            <w:noWrap/>
            <w:vAlign w:val="bottom"/>
            <w:hideMark/>
          </w:tcPr>
          <w:p w14:paraId="386193E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274801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A6253B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49323BC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72CA9F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7780828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181C582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c>
          <w:tcPr>
            <w:tcW w:w="837" w:type="dxa"/>
            <w:tcBorders>
              <w:top w:val="nil"/>
              <w:left w:val="single" w:sz="8" w:space="0" w:color="auto"/>
              <w:right w:val="single" w:sz="8" w:space="0" w:color="auto"/>
            </w:tcBorders>
            <w:shd w:val="clear" w:color="auto" w:fill="auto"/>
            <w:noWrap/>
            <w:vAlign w:val="bottom"/>
            <w:hideMark/>
          </w:tcPr>
          <w:p w14:paraId="126F75D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r>
      <w:tr w:rsidR="000C4767" w:rsidRPr="000C4767" w14:paraId="1A68B6AF"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0FDE990D"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Next ERA</w:t>
            </w:r>
          </w:p>
        </w:tc>
        <w:tc>
          <w:tcPr>
            <w:tcW w:w="838" w:type="dxa"/>
            <w:tcBorders>
              <w:top w:val="nil"/>
              <w:left w:val="nil"/>
              <w:right w:val="single" w:sz="4" w:space="0" w:color="auto"/>
            </w:tcBorders>
            <w:shd w:val="clear" w:color="000000" w:fill="D9D9D9"/>
            <w:noWrap/>
            <w:vAlign w:val="bottom"/>
            <w:hideMark/>
          </w:tcPr>
          <w:p w14:paraId="69A2452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1144340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08BB26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A46E69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5D080C6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18D1054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nil"/>
            </w:tcBorders>
            <w:shd w:val="clear" w:color="000000" w:fill="D9D9D9"/>
            <w:noWrap/>
            <w:vAlign w:val="bottom"/>
            <w:hideMark/>
          </w:tcPr>
          <w:p w14:paraId="25C450F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single" w:sz="8" w:space="0" w:color="auto"/>
              <w:right w:val="single" w:sz="8" w:space="0" w:color="auto"/>
            </w:tcBorders>
            <w:shd w:val="clear" w:color="000000" w:fill="D9D9D9"/>
            <w:noWrap/>
            <w:vAlign w:val="bottom"/>
            <w:hideMark/>
          </w:tcPr>
          <w:p w14:paraId="77628A8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r>
      <w:tr w:rsidR="000C4767" w:rsidRPr="000C4767" w14:paraId="34E37219"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3E350B0D"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Perigree</w:t>
            </w:r>
          </w:p>
        </w:tc>
        <w:tc>
          <w:tcPr>
            <w:tcW w:w="838" w:type="dxa"/>
            <w:tcBorders>
              <w:top w:val="nil"/>
              <w:left w:val="nil"/>
              <w:right w:val="single" w:sz="4" w:space="0" w:color="auto"/>
            </w:tcBorders>
            <w:shd w:val="clear" w:color="auto" w:fill="auto"/>
            <w:noWrap/>
            <w:vAlign w:val="bottom"/>
            <w:hideMark/>
          </w:tcPr>
          <w:p w14:paraId="13F5C36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5655D31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58F9AD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61348F4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auto" w:fill="auto"/>
            <w:noWrap/>
            <w:vAlign w:val="bottom"/>
            <w:hideMark/>
          </w:tcPr>
          <w:p w14:paraId="386ABC0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71BCAC8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6E33187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single" w:sz="8" w:space="0" w:color="auto"/>
              <w:right w:val="single" w:sz="8" w:space="0" w:color="auto"/>
            </w:tcBorders>
            <w:shd w:val="clear" w:color="auto" w:fill="auto"/>
            <w:noWrap/>
            <w:vAlign w:val="bottom"/>
            <w:hideMark/>
          </w:tcPr>
          <w:p w14:paraId="393EAF9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r>
      <w:tr w:rsidR="000C4767" w:rsidRPr="000C4767" w14:paraId="2439DA14"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149D0A0B"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Viridian</w:t>
            </w:r>
          </w:p>
        </w:tc>
        <w:tc>
          <w:tcPr>
            <w:tcW w:w="838" w:type="dxa"/>
            <w:tcBorders>
              <w:top w:val="nil"/>
              <w:left w:val="nil"/>
              <w:right w:val="single" w:sz="4" w:space="0" w:color="auto"/>
            </w:tcBorders>
            <w:shd w:val="clear" w:color="000000" w:fill="D9D9D9"/>
            <w:noWrap/>
            <w:vAlign w:val="bottom"/>
            <w:hideMark/>
          </w:tcPr>
          <w:p w14:paraId="6796FD1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26795FC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195C6D7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9E0916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737CD9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2D75FF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1B896A7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c>
          <w:tcPr>
            <w:tcW w:w="837" w:type="dxa"/>
            <w:tcBorders>
              <w:top w:val="nil"/>
              <w:left w:val="single" w:sz="8" w:space="0" w:color="auto"/>
              <w:right w:val="single" w:sz="8" w:space="0" w:color="auto"/>
            </w:tcBorders>
            <w:shd w:val="clear" w:color="000000" w:fill="D9D9D9"/>
            <w:noWrap/>
            <w:vAlign w:val="bottom"/>
            <w:hideMark/>
          </w:tcPr>
          <w:p w14:paraId="01C601A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r>
      <w:tr w:rsidR="000C4767" w:rsidRPr="000C4767" w14:paraId="78561FF0"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5A700184"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HOP Energy LLC</w:t>
            </w:r>
          </w:p>
        </w:tc>
        <w:tc>
          <w:tcPr>
            <w:tcW w:w="838" w:type="dxa"/>
            <w:tcBorders>
              <w:top w:val="nil"/>
              <w:left w:val="nil"/>
              <w:right w:val="single" w:sz="4" w:space="0" w:color="auto"/>
            </w:tcBorders>
            <w:shd w:val="clear" w:color="auto" w:fill="auto"/>
            <w:noWrap/>
            <w:vAlign w:val="bottom"/>
            <w:hideMark/>
          </w:tcPr>
          <w:p w14:paraId="15F7040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4062BA5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6946D9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73DBBC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658E34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B13366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4B1A64E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single" w:sz="8" w:space="0" w:color="auto"/>
              <w:right w:val="single" w:sz="8" w:space="0" w:color="auto"/>
            </w:tcBorders>
            <w:shd w:val="clear" w:color="auto" w:fill="auto"/>
            <w:noWrap/>
            <w:vAlign w:val="bottom"/>
            <w:hideMark/>
          </w:tcPr>
          <w:p w14:paraId="4E9D01A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r>
      <w:tr w:rsidR="000C4767" w:rsidRPr="000C4767" w14:paraId="0591676C"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1B142F14"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Other</w:t>
            </w:r>
          </w:p>
        </w:tc>
        <w:tc>
          <w:tcPr>
            <w:tcW w:w="838" w:type="dxa"/>
            <w:tcBorders>
              <w:top w:val="nil"/>
              <w:left w:val="nil"/>
              <w:right w:val="single" w:sz="4" w:space="0" w:color="auto"/>
            </w:tcBorders>
            <w:shd w:val="clear" w:color="000000" w:fill="D9D9D9"/>
            <w:noWrap/>
            <w:vAlign w:val="bottom"/>
            <w:hideMark/>
          </w:tcPr>
          <w:p w14:paraId="705ED38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nil"/>
              <w:right w:val="single" w:sz="4" w:space="0" w:color="auto"/>
            </w:tcBorders>
            <w:shd w:val="clear" w:color="000000" w:fill="D9D9D9"/>
            <w:noWrap/>
            <w:vAlign w:val="bottom"/>
            <w:hideMark/>
          </w:tcPr>
          <w:p w14:paraId="00E5C3E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999311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54FCED5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62ADBF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3546814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6CDA711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single" w:sz="8" w:space="0" w:color="auto"/>
              <w:right w:val="single" w:sz="8" w:space="0" w:color="auto"/>
            </w:tcBorders>
            <w:shd w:val="clear" w:color="000000" w:fill="D9D9D9"/>
            <w:noWrap/>
            <w:vAlign w:val="bottom"/>
            <w:hideMark/>
          </w:tcPr>
          <w:p w14:paraId="133223B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r>
      <w:tr w:rsidR="000C4767" w:rsidRPr="000C4767" w14:paraId="2390A85F"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36394D56"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United Energy Partners</w:t>
            </w:r>
          </w:p>
        </w:tc>
        <w:tc>
          <w:tcPr>
            <w:tcW w:w="838" w:type="dxa"/>
            <w:tcBorders>
              <w:top w:val="nil"/>
              <w:left w:val="nil"/>
              <w:right w:val="single" w:sz="4" w:space="0" w:color="auto"/>
            </w:tcBorders>
            <w:shd w:val="clear" w:color="auto" w:fill="auto"/>
            <w:noWrap/>
            <w:vAlign w:val="bottom"/>
            <w:hideMark/>
          </w:tcPr>
          <w:p w14:paraId="4F58B16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89BDD5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E865F2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73FCC570"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432F3FF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6B5BE5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0553369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single" w:sz="8" w:space="0" w:color="auto"/>
              <w:right w:val="single" w:sz="8" w:space="0" w:color="auto"/>
            </w:tcBorders>
            <w:shd w:val="clear" w:color="auto" w:fill="auto"/>
            <w:noWrap/>
            <w:vAlign w:val="bottom"/>
            <w:hideMark/>
          </w:tcPr>
          <w:p w14:paraId="646220C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r>
      <w:tr w:rsidR="000C4767" w:rsidRPr="000C4767" w14:paraId="7DFC4F27"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7F9806D2"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XOOM Energy</w:t>
            </w:r>
          </w:p>
        </w:tc>
        <w:tc>
          <w:tcPr>
            <w:tcW w:w="838" w:type="dxa"/>
            <w:tcBorders>
              <w:top w:val="nil"/>
              <w:left w:val="nil"/>
              <w:right w:val="single" w:sz="4" w:space="0" w:color="auto"/>
            </w:tcBorders>
            <w:shd w:val="clear" w:color="000000" w:fill="D9D9D9"/>
            <w:noWrap/>
            <w:vAlign w:val="bottom"/>
            <w:hideMark/>
          </w:tcPr>
          <w:p w14:paraId="064A9CF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7774F1D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5C6FC3B0"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46B3227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613DD57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1C324252"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4F26F75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c>
          <w:tcPr>
            <w:tcW w:w="837" w:type="dxa"/>
            <w:tcBorders>
              <w:top w:val="nil"/>
              <w:left w:val="single" w:sz="8" w:space="0" w:color="auto"/>
              <w:right w:val="single" w:sz="8" w:space="0" w:color="auto"/>
            </w:tcBorders>
            <w:shd w:val="clear" w:color="000000" w:fill="D9D9D9"/>
            <w:noWrap/>
            <w:vAlign w:val="bottom"/>
            <w:hideMark/>
          </w:tcPr>
          <w:p w14:paraId="24EB9D3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w:t>
            </w:r>
          </w:p>
        </w:tc>
      </w:tr>
      <w:tr w:rsidR="000C4767" w:rsidRPr="000C4767" w14:paraId="7A2BE08C"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53758021"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Con Edison Solutions</w:t>
            </w:r>
          </w:p>
        </w:tc>
        <w:tc>
          <w:tcPr>
            <w:tcW w:w="838" w:type="dxa"/>
            <w:tcBorders>
              <w:top w:val="nil"/>
              <w:left w:val="nil"/>
              <w:right w:val="single" w:sz="4" w:space="0" w:color="auto"/>
            </w:tcBorders>
            <w:shd w:val="clear" w:color="auto" w:fill="auto"/>
            <w:noWrap/>
            <w:vAlign w:val="bottom"/>
            <w:hideMark/>
          </w:tcPr>
          <w:p w14:paraId="5DC160A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5EA5F1B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F3797E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2CC6F1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67CF635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1A23804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5EFC5AE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single" w:sz="8" w:space="0" w:color="auto"/>
              <w:right w:val="single" w:sz="8" w:space="0" w:color="auto"/>
            </w:tcBorders>
            <w:shd w:val="clear" w:color="auto" w:fill="auto"/>
            <w:noWrap/>
            <w:vAlign w:val="bottom"/>
            <w:hideMark/>
          </w:tcPr>
          <w:p w14:paraId="12379A6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r>
      <w:tr w:rsidR="000C4767" w:rsidRPr="000C4767" w14:paraId="57642BE4"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0052475C"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Energy Choice LLC</w:t>
            </w:r>
          </w:p>
        </w:tc>
        <w:tc>
          <w:tcPr>
            <w:tcW w:w="838" w:type="dxa"/>
            <w:tcBorders>
              <w:top w:val="nil"/>
              <w:left w:val="nil"/>
              <w:right w:val="single" w:sz="4" w:space="0" w:color="auto"/>
            </w:tcBorders>
            <w:shd w:val="clear" w:color="000000" w:fill="D9D9D9"/>
            <w:noWrap/>
            <w:vAlign w:val="bottom"/>
            <w:hideMark/>
          </w:tcPr>
          <w:p w14:paraId="6F88487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nil"/>
              <w:right w:val="single" w:sz="4" w:space="0" w:color="auto"/>
            </w:tcBorders>
            <w:shd w:val="clear" w:color="000000" w:fill="D9D9D9"/>
            <w:noWrap/>
            <w:vAlign w:val="bottom"/>
            <w:hideMark/>
          </w:tcPr>
          <w:p w14:paraId="5A52133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19B72BF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231EBBE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6D1AB16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3415AB1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3E5275F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single" w:sz="8" w:space="0" w:color="auto"/>
              <w:right w:val="single" w:sz="8" w:space="0" w:color="auto"/>
            </w:tcBorders>
            <w:shd w:val="clear" w:color="000000" w:fill="D9D9D9"/>
            <w:noWrap/>
            <w:vAlign w:val="bottom"/>
            <w:hideMark/>
          </w:tcPr>
          <w:p w14:paraId="7C83626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r>
      <w:tr w:rsidR="000C4767" w:rsidRPr="000C4767" w14:paraId="70B0E051"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38F4B580"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HIKO Energy LLC</w:t>
            </w:r>
          </w:p>
        </w:tc>
        <w:tc>
          <w:tcPr>
            <w:tcW w:w="838" w:type="dxa"/>
            <w:tcBorders>
              <w:top w:val="nil"/>
              <w:left w:val="nil"/>
              <w:right w:val="single" w:sz="4" w:space="0" w:color="auto"/>
            </w:tcBorders>
            <w:shd w:val="clear" w:color="auto" w:fill="auto"/>
            <w:noWrap/>
            <w:vAlign w:val="bottom"/>
            <w:hideMark/>
          </w:tcPr>
          <w:p w14:paraId="1EE3CA0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23C9BF1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DB5963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A4FF421"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855420C"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9D398B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0596232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single" w:sz="8" w:space="0" w:color="auto"/>
              <w:right w:val="single" w:sz="8" w:space="0" w:color="auto"/>
            </w:tcBorders>
            <w:shd w:val="clear" w:color="auto" w:fill="auto"/>
            <w:noWrap/>
            <w:vAlign w:val="bottom"/>
            <w:hideMark/>
          </w:tcPr>
          <w:p w14:paraId="6BCE9ED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r>
      <w:tr w:rsidR="000C4767" w:rsidRPr="000C4767" w14:paraId="0FE049B2" w14:textId="77777777" w:rsidTr="004E4CA9">
        <w:trPr>
          <w:trHeight w:val="280"/>
          <w:jc w:val="center"/>
        </w:trPr>
        <w:tc>
          <w:tcPr>
            <w:tcW w:w="2895" w:type="dxa"/>
            <w:tcBorders>
              <w:top w:val="nil"/>
              <w:left w:val="single" w:sz="8" w:space="0" w:color="auto"/>
              <w:right w:val="single" w:sz="4" w:space="0" w:color="auto"/>
            </w:tcBorders>
            <w:shd w:val="clear" w:color="000000" w:fill="D9D9D9"/>
            <w:noWrap/>
            <w:vAlign w:val="bottom"/>
            <w:hideMark/>
          </w:tcPr>
          <w:p w14:paraId="4C9A7C6F"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Independence Energy Group</w:t>
            </w:r>
          </w:p>
        </w:tc>
        <w:tc>
          <w:tcPr>
            <w:tcW w:w="838" w:type="dxa"/>
            <w:tcBorders>
              <w:top w:val="nil"/>
              <w:left w:val="nil"/>
              <w:right w:val="single" w:sz="4" w:space="0" w:color="auto"/>
            </w:tcBorders>
            <w:shd w:val="clear" w:color="000000" w:fill="D9D9D9"/>
            <w:noWrap/>
            <w:vAlign w:val="bottom"/>
            <w:hideMark/>
          </w:tcPr>
          <w:p w14:paraId="5DA495A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E0DEDA8"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4762EC2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390B18E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79C7CD6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000000" w:fill="D9D9D9"/>
            <w:noWrap/>
            <w:vAlign w:val="bottom"/>
            <w:hideMark/>
          </w:tcPr>
          <w:p w14:paraId="011FE70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000000" w:fill="D9D9D9"/>
            <w:noWrap/>
            <w:vAlign w:val="bottom"/>
            <w:hideMark/>
          </w:tcPr>
          <w:p w14:paraId="3FEF904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single" w:sz="8" w:space="0" w:color="auto"/>
              <w:right w:val="single" w:sz="8" w:space="0" w:color="auto"/>
            </w:tcBorders>
            <w:shd w:val="clear" w:color="000000" w:fill="D9D9D9"/>
            <w:noWrap/>
            <w:vAlign w:val="bottom"/>
            <w:hideMark/>
          </w:tcPr>
          <w:p w14:paraId="647FA4C0"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r>
      <w:tr w:rsidR="000C4767" w:rsidRPr="000C4767" w14:paraId="6F645994" w14:textId="77777777" w:rsidTr="004E4CA9">
        <w:trPr>
          <w:trHeight w:val="280"/>
          <w:jc w:val="center"/>
        </w:trPr>
        <w:tc>
          <w:tcPr>
            <w:tcW w:w="2895" w:type="dxa"/>
            <w:tcBorders>
              <w:top w:val="nil"/>
              <w:left w:val="single" w:sz="8" w:space="0" w:color="auto"/>
              <w:right w:val="single" w:sz="4" w:space="0" w:color="auto"/>
            </w:tcBorders>
            <w:shd w:val="clear" w:color="auto" w:fill="auto"/>
            <w:noWrap/>
            <w:vAlign w:val="bottom"/>
            <w:hideMark/>
          </w:tcPr>
          <w:p w14:paraId="2A77F361" w14:textId="77777777" w:rsidR="000C4767" w:rsidRPr="000C4767" w:rsidRDefault="000C4767" w:rsidP="00070E5E">
            <w:pPr>
              <w:keepNext/>
              <w:keepLines/>
              <w:widowControl/>
              <w:autoSpaceDE/>
              <w:autoSpaceDN/>
              <w:adjustRightInd/>
              <w:rPr>
                <w:color w:val="000000"/>
                <w:sz w:val="22"/>
                <w:szCs w:val="22"/>
              </w:rPr>
            </w:pPr>
            <w:r w:rsidRPr="000C4767">
              <w:rPr>
                <w:color w:val="000000"/>
                <w:sz w:val="22"/>
                <w:szCs w:val="22"/>
              </w:rPr>
              <w:t>Town Square Energy</w:t>
            </w:r>
          </w:p>
        </w:tc>
        <w:tc>
          <w:tcPr>
            <w:tcW w:w="838" w:type="dxa"/>
            <w:tcBorders>
              <w:top w:val="nil"/>
              <w:left w:val="nil"/>
              <w:right w:val="single" w:sz="4" w:space="0" w:color="auto"/>
            </w:tcBorders>
            <w:shd w:val="clear" w:color="auto" w:fill="auto"/>
            <w:noWrap/>
            <w:vAlign w:val="bottom"/>
            <w:hideMark/>
          </w:tcPr>
          <w:p w14:paraId="56C08F2D"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3441A15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54D85BD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0B47B533"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58FF2F8E"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single" w:sz="4" w:space="0" w:color="auto"/>
            </w:tcBorders>
            <w:shd w:val="clear" w:color="auto" w:fill="auto"/>
            <w:noWrap/>
            <w:vAlign w:val="bottom"/>
            <w:hideMark/>
          </w:tcPr>
          <w:p w14:paraId="50D0461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0</w:t>
            </w:r>
          </w:p>
        </w:tc>
        <w:tc>
          <w:tcPr>
            <w:tcW w:w="837" w:type="dxa"/>
            <w:tcBorders>
              <w:top w:val="nil"/>
              <w:left w:val="nil"/>
              <w:right w:val="nil"/>
            </w:tcBorders>
            <w:shd w:val="clear" w:color="auto" w:fill="auto"/>
            <w:noWrap/>
            <w:vAlign w:val="bottom"/>
            <w:hideMark/>
          </w:tcPr>
          <w:p w14:paraId="611E6CBF"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c>
          <w:tcPr>
            <w:tcW w:w="837" w:type="dxa"/>
            <w:tcBorders>
              <w:top w:val="nil"/>
              <w:left w:val="single" w:sz="8" w:space="0" w:color="auto"/>
              <w:right w:val="single" w:sz="8" w:space="0" w:color="auto"/>
            </w:tcBorders>
            <w:shd w:val="clear" w:color="auto" w:fill="auto"/>
            <w:noWrap/>
            <w:vAlign w:val="bottom"/>
            <w:hideMark/>
          </w:tcPr>
          <w:p w14:paraId="673ECDA6"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w:t>
            </w:r>
          </w:p>
        </w:tc>
      </w:tr>
      <w:tr w:rsidR="000C4767" w:rsidRPr="000C4767" w14:paraId="6B9252E2" w14:textId="77777777" w:rsidTr="004E4CA9">
        <w:trPr>
          <w:trHeight w:val="300"/>
          <w:jc w:val="center"/>
        </w:trPr>
        <w:tc>
          <w:tcPr>
            <w:tcW w:w="2895" w:type="dxa"/>
            <w:tcBorders>
              <w:top w:val="nil"/>
              <w:left w:val="single" w:sz="8" w:space="0" w:color="auto"/>
              <w:bottom w:val="single" w:sz="8" w:space="0" w:color="auto"/>
              <w:right w:val="single" w:sz="4" w:space="0" w:color="auto"/>
            </w:tcBorders>
            <w:shd w:val="clear" w:color="000000" w:fill="BFBFBF"/>
            <w:noWrap/>
            <w:vAlign w:val="bottom"/>
            <w:hideMark/>
          </w:tcPr>
          <w:p w14:paraId="77CD81C4" w14:textId="77777777" w:rsidR="000C4767" w:rsidRPr="000C4767" w:rsidRDefault="000C4767" w:rsidP="00070E5E">
            <w:pPr>
              <w:keepNext/>
              <w:keepLines/>
              <w:widowControl/>
              <w:autoSpaceDE/>
              <w:autoSpaceDN/>
              <w:adjustRightInd/>
              <w:rPr>
                <w:b/>
                <w:bCs/>
                <w:color w:val="000000"/>
                <w:sz w:val="22"/>
                <w:szCs w:val="22"/>
              </w:rPr>
            </w:pPr>
            <w:r w:rsidRPr="000C4767">
              <w:rPr>
                <w:b/>
                <w:bCs/>
                <w:color w:val="000000"/>
                <w:sz w:val="22"/>
                <w:szCs w:val="22"/>
              </w:rPr>
              <w:t>TOTALS</w:t>
            </w:r>
          </w:p>
        </w:tc>
        <w:tc>
          <w:tcPr>
            <w:tcW w:w="838" w:type="dxa"/>
            <w:tcBorders>
              <w:top w:val="nil"/>
              <w:left w:val="nil"/>
              <w:bottom w:val="single" w:sz="8" w:space="0" w:color="auto"/>
              <w:right w:val="single" w:sz="4" w:space="0" w:color="auto"/>
            </w:tcBorders>
            <w:shd w:val="clear" w:color="000000" w:fill="BFBFBF"/>
            <w:noWrap/>
            <w:vAlign w:val="bottom"/>
            <w:hideMark/>
          </w:tcPr>
          <w:p w14:paraId="21F837E9"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76</w:t>
            </w:r>
          </w:p>
        </w:tc>
        <w:tc>
          <w:tcPr>
            <w:tcW w:w="837" w:type="dxa"/>
            <w:tcBorders>
              <w:top w:val="nil"/>
              <w:left w:val="nil"/>
              <w:bottom w:val="single" w:sz="8" w:space="0" w:color="auto"/>
              <w:right w:val="single" w:sz="4" w:space="0" w:color="auto"/>
            </w:tcBorders>
            <w:shd w:val="clear" w:color="000000" w:fill="BFBFBF"/>
            <w:noWrap/>
            <w:vAlign w:val="bottom"/>
            <w:hideMark/>
          </w:tcPr>
          <w:p w14:paraId="4A85BB4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13</w:t>
            </w:r>
          </w:p>
        </w:tc>
        <w:tc>
          <w:tcPr>
            <w:tcW w:w="837" w:type="dxa"/>
            <w:tcBorders>
              <w:top w:val="nil"/>
              <w:left w:val="nil"/>
              <w:bottom w:val="single" w:sz="8" w:space="0" w:color="auto"/>
              <w:right w:val="single" w:sz="4" w:space="0" w:color="auto"/>
            </w:tcBorders>
            <w:shd w:val="clear" w:color="000000" w:fill="BFBFBF"/>
            <w:noWrap/>
            <w:vAlign w:val="bottom"/>
            <w:hideMark/>
          </w:tcPr>
          <w:p w14:paraId="076ED0F7"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w:t>
            </w:r>
          </w:p>
        </w:tc>
        <w:tc>
          <w:tcPr>
            <w:tcW w:w="837" w:type="dxa"/>
            <w:tcBorders>
              <w:top w:val="nil"/>
              <w:left w:val="nil"/>
              <w:bottom w:val="single" w:sz="8" w:space="0" w:color="auto"/>
              <w:right w:val="single" w:sz="4" w:space="0" w:color="auto"/>
            </w:tcBorders>
            <w:shd w:val="clear" w:color="000000" w:fill="BFBFBF"/>
            <w:noWrap/>
            <w:vAlign w:val="bottom"/>
            <w:hideMark/>
          </w:tcPr>
          <w:p w14:paraId="4153475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24</w:t>
            </w:r>
          </w:p>
        </w:tc>
        <w:tc>
          <w:tcPr>
            <w:tcW w:w="837" w:type="dxa"/>
            <w:tcBorders>
              <w:top w:val="nil"/>
              <w:left w:val="nil"/>
              <w:bottom w:val="single" w:sz="8" w:space="0" w:color="auto"/>
              <w:right w:val="single" w:sz="4" w:space="0" w:color="auto"/>
            </w:tcBorders>
            <w:shd w:val="clear" w:color="000000" w:fill="BFBFBF"/>
            <w:noWrap/>
            <w:vAlign w:val="bottom"/>
            <w:hideMark/>
          </w:tcPr>
          <w:p w14:paraId="32E54DAB"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6</w:t>
            </w:r>
          </w:p>
        </w:tc>
        <w:tc>
          <w:tcPr>
            <w:tcW w:w="837" w:type="dxa"/>
            <w:tcBorders>
              <w:top w:val="nil"/>
              <w:left w:val="nil"/>
              <w:bottom w:val="single" w:sz="8" w:space="0" w:color="auto"/>
              <w:right w:val="single" w:sz="4" w:space="0" w:color="auto"/>
            </w:tcBorders>
            <w:shd w:val="clear" w:color="000000" w:fill="BFBFBF"/>
            <w:noWrap/>
            <w:vAlign w:val="bottom"/>
            <w:hideMark/>
          </w:tcPr>
          <w:p w14:paraId="21E16A45"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5</w:t>
            </w:r>
          </w:p>
        </w:tc>
        <w:tc>
          <w:tcPr>
            <w:tcW w:w="837" w:type="dxa"/>
            <w:tcBorders>
              <w:top w:val="nil"/>
              <w:left w:val="nil"/>
              <w:bottom w:val="single" w:sz="8" w:space="0" w:color="auto"/>
              <w:right w:val="nil"/>
            </w:tcBorders>
            <w:shd w:val="clear" w:color="000000" w:fill="BFBFBF"/>
            <w:noWrap/>
            <w:vAlign w:val="bottom"/>
            <w:hideMark/>
          </w:tcPr>
          <w:p w14:paraId="5FB6A80A"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260</w:t>
            </w:r>
          </w:p>
        </w:tc>
        <w:tc>
          <w:tcPr>
            <w:tcW w:w="837" w:type="dxa"/>
            <w:tcBorders>
              <w:top w:val="nil"/>
              <w:left w:val="single" w:sz="8" w:space="0" w:color="auto"/>
              <w:bottom w:val="single" w:sz="8" w:space="0" w:color="auto"/>
              <w:right w:val="single" w:sz="8" w:space="0" w:color="auto"/>
            </w:tcBorders>
            <w:shd w:val="clear" w:color="000000" w:fill="BFBFBF"/>
            <w:noWrap/>
            <w:vAlign w:val="bottom"/>
            <w:hideMark/>
          </w:tcPr>
          <w:p w14:paraId="7D5972B4" w14:textId="77777777" w:rsidR="000C4767" w:rsidRPr="000C4767" w:rsidRDefault="000C4767" w:rsidP="00070E5E">
            <w:pPr>
              <w:keepNext/>
              <w:keepLines/>
              <w:widowControl/>
              <w:autoSpaceDE/>
              <w:autoSpaceDN/>
              <w:adjustRightInd/>
              <w:jc w:val="right"/>
              <w:rPr>
                <w:color w:val="000000"/>
                <w:sz w:val="22"/>
                <w:szCs w:val="22"/>
              </w:rPr>
            </w:pPr>
            <w:r w:rsidRPr="000C4767">
              <w:rPr>
                <w:color w:val="000000"/>
                <w:sz w:val="22"/>
                <w:szCs w:val="22"/>
              </w:rPr>
              <w:t>387</w:t>
            </w:r>
          </w:p>
        </w:tc>
      </w:tr>
    </w:tbl>
    <w:p w14:paraId="67828CBA" w14:textId="77777777" w:rsidR="0055090D" w:rsidRDefault="0055090D" w:rsidP="00523FFF">
      <w:pPr>
        <w:spacing w:line="480" w:lineRule="auto"/>
        <w:ind w:left="720"/>
        <w:jc w:val="center"/>
        <w:rPr>
          <w:b/>
        </w:rPr>
      </w:pPr>
    </w:p>
    <w:p w14:paraId="165DB9AD" w14:textId="77777777" w:rsidR="00206E97" w:rsidRDefault="00206E97" w:rsidP="001F1B3E">
      <w:pPr>
        <w:keepNext/>
        <w:keepLines/>
        <w:spacing w:line="480" w:lineRule="auto"/>
        <w:outlineLvl w:val="1"/>
        <w:rPr>
          <w:b/>
        </w:rPr>
      </w:pPr>
      <w:bookmarkStart w:id="36" w:name="_Toc382029125"/>
      <w:r>
        <w:rPr>
          <w:b/>
        </w:rPr>
        <w:t>Suppliers</w:t>
      </w:r>
      <w:r w:rsidR="0009426F">
        <w:rPr>
          <w:b/>
        </w:rPr>
        <w:t>’</w:t>
      </w:r>
      <w:r>
        <w:rPr>
          <w:b/>
        </w:rPr>
        <w:t xml:space="preserve"> Quality of Customer Service</w:t>
      </w:r>
      <w:bookmarkEnd w:id="36"/>
    </w:p>
    <w:p w14:paraId="24A8F03A" w14:textId="77777777" w:rsidR="000B6AD0" w:rsidRPr="00BB64FF" w:rsidRDefault="000B6AD0" w:rsidP="00206E97">
      <w:pPr>
        <w:spacing w:line="480" w:lineRule="auto"/>
        <w:rPr>
          <w:b/>
        </w:rPr>
      </w:pPr>
      <w:r w:rsidRPr="00BB64FF">
        <w:rPr>
          <w:b/>
        </w:rPr>
        <w:t>Q:</w:t>
      </w:r>
      <w:r w:rsidRPr="00BB64FF">
        <w:rPr>
          <w:b/>
        </w:rPr>
        <w:tab/>
        <w:t xml:space="preserve">What information is summarized </w:t>
      </w:r>
      <w:r w:rsidR="001E4A12">
        <w:rPr>
          <w:b/>
        </w:rPr>
        <w:t>i</w:t>
      </w:r>
      <w:r w:rsidRPr="00BB64FF">
        <w:rPr>
          <w:b/>
        </w:rPr>
        <w:t xml:space="preserve">n Table </w:t>
      </w:r>
      <w:r w:rsidR="00BB64FF">
        <w:rPr>
          <w:b/>
        </w:rPr>
        <w:t>7</w:t>
      </w:r>
      <w:r w:rsidRPr="00BB64FF">
        <w:rPr>
          <w:b/>
        </w:rPr>
        <w:t xml:space="preserve"> below?</w:t>
      </w:r>
    </w:p>
    <w:p w14:paraId="00149467" w14:textId="77777777" w:rsidR="00331524" w:rsidRDefault="000B6AD0" w:rsidP="00BB64FF">
      <w:pPr>
        <w:spacing w:line="480" w:lineRule="auto"/>
        <w:ind w:left="720" w:hanging="720"/>
      </w:pPr>
      <w:r>
        <w:t>A:</w:t>
      </w:r>
      <w:r>
        <w:tab/>
        <w:t>After being pursued unrelentingly to sign up for service, customers report a great deal of difficulty getting certain</w:t>
      </w:r>
      <w:r w:rsidR="00A93FF2">
        <w:t xml:space="preserve"> Supplier</w:t>
      </w:r>
      <w:r>
        <w:t xml:space="preserve">s to </w:t>
      </w:r>
      <w:r w:rsidR="00B44A42">
        <w:t xml:space="preserve">take </w:t>
      </w:r>
      <w:r>
        <w:t xml:space="preserve">their calls to respond to questions, complaints, or requests to cancel service.  In other words, they get the run-around.  </w:t>
      </w:r>
      <w:r w:rsidR="00BB64FF">
        <w:t>Table 7</w:t>
      </w:r>
      <w:r>
        <w:t xml:space="preserve"> catalogs the various ways customers described this highly unsatisfactory customer service experience. </w:t>
      </w:r>
    </w:p>
    <w:p w14:paraId="308DD0CB" w14:textId="77777777" w:rsidR="00940187" w:rsidRPr="00940187" w:rsidRDefault="00331524" w:rsidP="004E4CA9">
      <w:pPr>
        <w:keepNext/>
        <w:keepLines/>
        <w:spacing w:line="480" w:lineRule="auto"/>
        <w:jc w:val="center"/>
        <w:rPr>
          <w:b/>
        </w:rPr>
      </w:pPr>
      <w:r>
        <w:br w:type="page"/>
      </w:r>
      <w:r w:rsidR="00940187" w:rsidRPr="00940187">
        <w:rPr>
          <w:b/>
        </w:rPr>
        <w:t xml:space="preserve">Table </w:t>
      </w:r>
      <w:r w:rsidR="00BB64FF">
        <w:rPr>
          <w:b/>
        </w:rPr>
        <w:t>7</w:t>
      </w:r>
    </w:p>
    <w:p w14:paraId="4B8FB704" w14:textId="77777777" w:rsidR="009B3D66" w:rsidRDefault="00940187" w:rsidP="004E4CA9">
      <w:pPr>
        <w:keepNext/>
        <w:keepLines/>
        <w:spacing w:line="480" w:lineRule="auto"/>
        <w:ind w:left="720"/>
        <w:jc w:val="center"/>
        <w:rPr>
          <w:b/>
        </w:rPr>
      </w:pPr>
      <w:r w:rsidRPr="00940187">
        <w:rPr>
          <w:b/>
        </w:rPr>
        <w:t xml:space="preserve">Complaints  - </w:t>
      </w:r>
      <w:r>
        <w:rPr>
          <w:b/>
        </w:rPr>
        <w:t xml:space="preserve">Suppliers’ Quality of </w:t>
      </w:r>
      <w:r w:rsidR="00206E97">
        <w:rPr>
          <w:b/>
        </w:rPr>
        <w:t xml:space="preserve">Customer </w:t>
      </w:r>
      <w:r>
        <w:rPr>
          <w:b/>
        </w:rPr>
        <w:t>Service</w:t>
      </w:r>
      <w:r w:rsidR="00331524">
        <w:rPr>
          <w:rStyle w:val="FootnoteReference"/>
          <w:b/>
        </w:rPr>
        <w:footnoteReference w:id="33"/>
      </w:r>
    </w:p>
    <w:tbl>
      <w:tblPr>
        <w:tblW w:w="8940" w:type="dxa"/>
        <w:tblInd w:w="93" w:type="dxa"/>
        <w:tblLook w:val="04A0" w:firstRow="1" w:lastRow="0" w:firstColumn="1" w:lastColumn="0" w:noHBand="0" w:noVBand="1"/>
      </w:tblPr>
      <w:tblGrid>
        <w:gridCol w:w="2920"/>
        <w:gridCol w:w="860"/>
        <w:gridCol w:w="860"/>
        <w:gridCol w:w="860"/>
        <w:gridCol w:w="860"/>
        <w:gridCol w:w="860"/>
        <w:gridCol w:w="860"/>
        <w:gridCol w:w="860"/>
      </w:tblGrid>
      <w:tr w:rsidR="004E4CA9" w:rsidRPr="004E4CA9" w14:paraId="69DA2C27" w14:textId="77777777" w:rsidTr="004E4CA9">
        <w:trPr>
          <w:trHeight w:val="2280"/>
        </w:trPr>
        <w:tc>
          <w:tcPr>
            <w:tcW w:w="29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36CEF90"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Supplier</w:t>
            </w:r>
          </w:p>
        </w:tc>
        <w:tc>
          <w:tcPr>
            <w:tcW w:w="860" w:type="dxa"/>
            <w:tcBorders>
              <w:top w:val="single" w:sz="8" w:space="0" w:color="auto"/>
              <w:left w:val="nil"/>
              <w:bottom w:val="single" w:sz="8" w:space="0" w:color="auto"/>
              <w:right w:val="single" w:sz="4" w:space="0" w:color="auto"/>
            </w:tcBorders>
            <w:shd w:val="clear" w:color="auto" w:fill="auto"/>
            <w:textDirection w:val="btLr"/>
            <w:vAlign w:val="center"/>
            <w:hideMark/>
          </w:tcPr>
          <w:p w14:paraId="652F62B8"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800 # not in service</w:t>
            </w:r>
          </w:p>
        </w:tc>
        <w:tc>
          <w:tcPr>
            <w:tcW w:w="860" w:type="dxa"/>
            <w:tcBorders>
              <w:top w:val="single" w:sz="8" w:space="0" w:color="auto"/>
              <w:left w:val="nil"/>
              <w:bottom w:val="single" w:sz="8" w:space="0" w:color="auto"/>
              <w:right w:val="single" w:sz="4" w:space="0" w:color="auto"/>
            </w:tcBorders>
            <w:shd w:val="clear" w:color="auto" w:fill="auto"/>
            <w:textDirection w:val="btLr"/>
            <w:vAlign w:val="center"/>
            <w:hideMark/>
          </w:tcPr>
          <w:p w14:paraId="65EB0CE6"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Lengthy queue for 800 number</w:t>
            </w:r>
          </w:p>
        </w:tc>
        <w:tc>
          <w:tcPr>
            <w:tcW w:w="860" w:type="dxa"/>
            <w:tcBorders>
              <w:top w:val="single" w:sz="8" w:space="0" w:color="auto"/>
              <w:left w:val="nil"/>
              <w:bottom w:val="single" w:sz="8" w:space="0" w:color="auto"/>
              <w:right w:val="single" w:sz="4" w:space="0" w:color="auto"/>
            </w:tcBorders>
            <w:shd w:val="clear" w:color="auto" w:fill="auto"/>
            <w:textDirection w:val="btLr"/>
            <w:vAlign w:val="center"/>
            <w:hideMark/>
          </w:tcPr>
          <w:p w14:paraId="055ACE84"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Call turned over to answering machine</w:t>
            </w:r>
          </w:p>
        </w:tc>
        <w:tc>
          <w:tcPr>
            <w:tcW w:w="860" w:type="dxa"/>
            <w:tcBorders>
              <w:top w:val="single" w:sz="8" w:space="0" w:color="auto"/>
              <w:left w:val="nil"/>
              <w:bottom w:val="single" w:sz="8" w:space="0" w:color="auto"/>
              <w:right w:val="single" w:sz="4" w:space="0" w:color="auto"/>
            </w:tcBorders>
            <w:shd w:val="clear" w:color="auto" w:fill="auto"/>
            <w:textDirection w:val="btLr"/>
            <w:vAlign w:val="center"/>
            <w:hideMark/>
          </w:tcPr>
          <w:p w14:paraId="07B15434"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Cannot get through to company to cancel</w:t>
            </w:r>
          </w:p>
        </w:tc>
        <w:tc>
          <w:tcPr>
            <w:tcW w:w="860" w:type="dxa"/>
            <w:tcBorders>
              <w:top w:val="single" w:sz="8" w:space="0" w:color="auto"/>
              <w:left w:val="nil"/>
              <w:bottom w:val="single" w:sz="8" w:space="0" w:color="auto"/>
              <w:right w:val="single" w:sz="4" w:space="0" w:color="auto"/>
            </w:tcBorders>
            <w:shd w:val="clear" w:color="auto" w:fill="auto"/>
            <w:textDirection w:val="btLr"/>
            <w:vAlign w:val="center"/>
            <w:hideMark/>
          </w:tcPr>
          <w:p w14:paraId="38F815D9"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Failure to return call to customer</w:t>
            </w:r>
          </w:p>
        </w:tc>
        <w:tc>
          <w:tcPr>
            <w:tcW w:w="860" w:type="dxa"/>
            <w:tcBorders>
              <w:top w:val="single" w:sz="8" w:space="0" w:color="auto"/>
              <w:left w:val="nil"/>
              <w:bottom w:val="single" w:sz="8" w:space="0" w:color="auto"/>
              <w:right w:val="single" w:sz="4" w:space="0" w:color="auto"/>
            </w:tcBorders>
            <w:shd w:val="clear" w:color="auto" w:fill="auto"/>
            <w:textDirection w:val="btLr"/>
            <w:vAlign w:val="center"/>
            <w:hideMark/>
          </w:tcPr>
          <w:p w14:paraId="206B0033"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Rude to customer</w:t>
            </w:r>
          </w:p>
        </w:tc>
        <w:tc>
          <w:tcPr>
            <w:tcW w:w="860" w:type="dxa"/>
            <w:tcBorders>
              <w:top w:val="single" w:sz="8" w:space="0" w:color="auto"/>
              <w:left w:val="nil"/>
              <w:bottom w:val="single" w:sz="8" w:space="0" w:color="auto"/>
              <w:right w:val="single" w:sz="8" w:space="0" w:color="auto"/>
            </w:tcBorders>
            <w:shd w:val="clear" w:color="auto" w:fill="auto"/>
            <w:textDirection w:val="btLr"/>
            <w:vAlign w:val="center"/>
            <w:hideMark/>
          </w:tcPr>
          <w:p w14:paraId="43F35A40" w14:textId="77777777" w:rsidR="004E4CA9" w:rsidRPr="004E4CA9" w:rsidRDefault="004E4CA9" w:rsidP="004E4CA9">
            <w:pPr>
              <w:keepNext/>
              <w:keepLines/>
              <w:widowControl/>
              <w:autoSpaceDE/>
              <w:autoSpaceDN/>
              <w:adjustRightInd/>
              <w:jc w:val="center"/>
              <w:rPr>
                <w:b/>
                <w:bCs/>
                <w:color w:val="000000"/>
                <w:sz w:val="22"/>
                <w:szCs w:val="22"/>
              </w:rPr>
            </w:pPr>
            <w:r w:rsidRPr="004E4CA9">
              <w:rPr>
                <w:b/>
                <w:bCs/>
                <w:color w:val="000000"/>
                <w:sz w:val="22"/>
                <w:szCs w:val="22"/>
              </w:rPr>
              <w:t>Total</w:t>
            </w:r>
          </w:p>
        </w:tc>
      </w:tr>
      <w:tr w:rsidR="004E4CA9" w:rsidRPr="004E4CA9" w14:paraId="3DC1503E" w14:textId="77777777" w:rsidTr="004E4CA9">
        <w:trPr>
          <w:trHeight w:val="360"/>
        </w:trPr>
        <w:tc>
          <w:tcPr>
            <w:tcW w:w="2920" w:type="dxa"/>
            <w:tcBorders>
              <w:top w:val="nil"/>
              <w:left w:val="single" w:sz="8" w:space="0" w:color="auto"/>
              <w:bottom w:val="nil"/>
              <w:right w:val="nil"/>
            </w:tcBorders>
            <w:shd w:val="clear" w:color="auto" w:fill="auto"/>
            <w:noWrap/>
            <w:vAlign w:val="bottom"/>
            <w:hideMark/>
          </w:tcPr>
          <w:p w14:paraId="71DCCB60"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Public Power &amp; Utility</w:t>
            </w:r>
          </w:p>
        </w:tc>
        <w:tc>
          <w:tcPr>
            <w:tcW w:w="860" w:type="dxa"/>
            <w:tcBorders>
              <w:top w:val="nil"/>
              <w:left w:val="single" w:sz="4" w:space="0" w:color="auto"/>
              <w:bottom w:val="nil"/>
              <w:right w:val="single" w:sz="4" w:space="0" w:color="auto"/>
            </w:tcBorders>
            <w:shd w:val="clear" w:color="auto" w:fill="auto"/>
            <w:noWrap/>
            <w:vAlign w:val="bottom"/>
            <w:hideMark/>
          </w:tcPr>
          <w:p w14:paraId="3E7321B4"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61E0CBB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12</w:t>
            </w:r>
          </w:p>
        </w:tc>
        <w:tc>
          <w:tcPr>
            <w:tcW w:w="860" w:type="dxa"/>
            <w:tcBorders>
              <w:top w:val="nil"/>
              <w:left w:val="nil"/>
              <w:bottom w:val="nil"/>
              <w:right w:val="single" w:sz="4" w:space="0" w:color="auto"/>
            </w:tcBorders>
            <w:shd w:val="clear" w:color="auto" w:fill="auto"/>
            <w:noWrap/>
            <w:vAlign w:val="bottom"/>
            <w:hideMark/>
          </w:tcPr>
          <w:p w14:paraId="07F4C0D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10</w:t>
            </w:r>
          </w:p>
        </w:tc>
        <w:tc>
          <w:tcPr>
            <w:tcW w:w="860" w:type="dxa"/>
            <w:tcBorders>
              <w:top w:val="nil"/>
              <w:left w:val="nil"/>
              <w:bottom w:val="nil"/>
              <w:right w:val="single" w:sz="4" w:space="0" w:color="auto"/>
            </w:tcBorders>
            <w:shd w:val="clear" w:color="auto" w:fill="auto"/>
            <w:noWrap/>
            <w:vAlign w:val="bottom"/>
            <w:hideMark/>
          </w:tcPr>
          <w:p w14:paraId="5397C8C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12</w:t>
            </w:r>
          </w:p>
        </w:tc>
        <w:tc>
          <w:tcPr>
            <w:tcW w:w="860" w:type="dxa"/>
            <w:tcBorders>
              <w:top w:val="nil"/>
              <w:left w:val="nil"/>
              <w:bottom w:val="nil"/>
              <w:right w:val="single" w:sz="4" w:space="0" w:color="auto"/>
            </w:tcBorders>
            <w:shd w:val="clear" w:color="auto" w:fill="auto"/>
            <w:noWrap/>
            <w:vAlign w:val="bottom"/>
            <w:hideMark/>
          </w:tcPr>
          <w:p w14:paraId="00FD9897"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7</w:t>
            </w:r>
          </w:p>
        </w:tc>
        <w:tc>
          <w:tcPr>
            <w:tcW w:w="860" w:type="dxa"/>
            <w:tcBorders>
              <w:top w:val="nil"/>
              <w:left w:val="nil"/>
              <w:bottom w:val="nil"/>
              <w:right w:val="single" w:sz="4" w:space="0" w:color="auto"/>
            </w:tcBorders>
            <w:shd w:val="clear" w:color="auto" w:fill="auto"/>
            <w:noWrap/>
            <w:vAlign w:val="bottom"/>
            <w:hideMark/>
          </w:tcPr>
          <w:p w14:paraId="1BD391B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7</w:t>
            </w:r>
          </w:p>
        </w:tc>
        <w:tc>
          <w:tcPr>
            <w:tcW w:w="860" w:type="dxa"/>
            <w:tcBorders>
              <w:top w:val="nil"/>
              <w:left w:val="nil"/>
              <w:bottom w:val="nil"/>
              <w:right w:val="single" w:sz="8" w:space="0" w:color="auto"/>
            </w:tcBorders>
            <w:shd w:val="clear" w:color="auto" w:fill="auto"/>
            <w:noWrap/>
            <w:vAlign w:val="bottom"/>
            <w:hideMark/>
          </w:tcPr>
          <w:p w14:paraId="1E8A613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48</w:t>
            </w:r>
          </w:p>
        </w:tc>
      </w:tr>
      <w:tr w:rsidR="004E4CA9" w:rsidRPr="004E4CA9" w14:paraId="69E13DFE"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3C302C02"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Starion</w:t>
            </w:r>
          </w:p>
        </w:tc>
        <w:tc>
          <w:tcPr>
            <w:tcW w:w="860" w:type="dxa"/>
            <w:tcBorders>
              <w:top w:val="nil"/>
              <w:left w:val="single" w:sz="4" w:space="0" w:color="auto"/>
              <w:bottom w:val="nil"/>
              <w:right w:val="single" w:sz="4" w:space="0" w:color="auto"/>
            </w:tcBorders>
            <w:shd w:val="clear" w:color="000000" w:fill="D9D9D9"/>
            <w:noWrap/>
            <w:vAlign w:val="bottom"/>
            <w:hideMark/>
          </w:tcPr>
          <w:p w14:paraId="1F1523D7"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090CC427"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9</w:t>
            </w:r>
          </w:p>
        </w:tc>
        <w:tc>
          <w:tcPr>
            <w:tcW w:w="860" w:type="dxa"/>
            <w:tcBorders>
              <w:top w:val="nil"/>
              <w:left w:val="nil"/>
              <w:bottom w:val="nil"/>
              <w:right w:val="single" w:sz="4" w:space="0" w:color="auto"/>
            </w:tcBorders>
            <w:shd w:val="clear" w:color="000000" w:fill="D9D9D9"/>
            <w:noWrap/>
            <w:vAlign w:val="bottom"/>
            <w:hideMark/>
          </w:tcPr>
          <w:p w14:paraId="49CDC5D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762C83E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16</w:t>
            </w:r>
          </w:p>
        </w:tc>
        <w:tc>
          <w:tcPr>
            <w:tcW w:w="860" w:type="dxa"/>
            <w:tcBorders>
              <w:top w:val="nil"/>
              <w:left w:val="nil"/>
              <w:bottom w:val="nil"/>
              <w:right w:val="single" w:sz="4" w:space="0" w:color="auto"/>
            </w:tcBorders>
            <w:shd w:val="clear" w:color="000000" w:fill="D9D9D9"/>
            <w:noWrap/>
            <w:vAlign w:val="bottom"/>
            <w:hideMark/>
          </w:tcPr>
          <w:p w14:paraId="24CC2B5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3</w:t>
            </w:r>
          </w:p>
        </w:tc>
        <w:tc>
          <w:tcPr>
            <w:tcW w:w="860" w:type="dxa"/>
            <w:tcBorders>
              <w:top w:val="nil"/>
              <w:left w:val="nil"/>
              <w:bottom w:val="nil"/>
              <w:right w:val="single" w:sz="4" w:space="0" w:color="auto"/>
            </w:tcBorders>
            <w:shd w:val="clear" w:color="000000" w:fill="D9D9D9"/>
            <w:noWrap/>
            <w:vAlign w:val="bottom"/>
            <w:hideMark/>
          </w:tcPr>
          <w:p w14:paraId="47A7E2A7"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5</w:t>
            </w:r>
          </w:p>
        </w:tc>
        <w:tc>
          <w:tcPr>
            <w:tcW w:w="860" w:type="dxa"/>
            <w:tcBorders>
              <w:top w:val="nil"/>
              <w:left w:val="nil"/>
              <w:bottom w:val="nil"/>
              <w:right w:val="single" w:sz="8" w:space="0" w:color="auto"/>
            </w:tcBorders>
            <w:shd w:val="clear" w:color="000000" w:fill="D9D9D9"/>
            <w:noWrap/>
            <w:vAlign w:val="bottom"/>
            <w:hideMark/>
          </w:tcPr>
          <w:p w14:paraId="0EAEFB09"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33</w:t>
            </w:r>
          </w:p>
        </w:tc>
      </w:tr>
      <w:tr w:rsidR="004E4CA9" w:rsidRPr="004E4CA9" w14:paraId="4BEDF629"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01141C2F"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Direct Energy</w:t>
            </w:r>
          </w:p>
        </w:tc>
        <w:tc>
          <w:tcPr>
            <w:tcW w:w="860" w:type="dxa"/>
            <w:tcBorders>
              <w:top w:val="nil"/>
              <w:left w:val="single" w:sz="4" w:space="0" w:color="auto"/>
              <w:bottom w:val="nil"/>
              <w:right w:val="single" w:sz="4" w:space="0" w:color="auto"/>
            </w:tcBorders>
            <w:shd w:val="clear" w:color="auto" w:fill="auto"/>
            <w:noWrap/>
            <w:vAlign w:val="bottom"/>
            <w:hideMark/>
          </w:tcPr>
          <w:p w14:paraId="7B89E18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3</w:t>
            </w:r>
          </w:p>
        </w:tc>
        <w:tc>
          <w:tcPr>
            <w:tcW w:w="860" w:type="dxa"/>
            <w:tcBorders>
              <w:top w:val="nil"/>
              <w:left w:val="nil"/>
              <w:bottom w:val="nil"/>
              <w:right w:val="single" w:sz="4" w:space="0" w:color="auto"/>
            </w:tcBorders>
            <w:shd w:val="clear" w:color="auto" w:fill="auto"/>
            <w:noWrap/>
            <w:vAlign w:val="bottom"/>
            <w:hideMark/>
          </w:tcPr>
          <w:p w14:paraId="739F0469"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4</w:t>
            </w:r>
          </w:p>
        </w:tc>
        <w:tc>
          <w:tcPr>
            <w:tcW w:w="860" w:type="dxa"/>
            <w:tcBorders>
              <w:top w:val="nil"/>
              <w:left w:val="nil"/>
              <w:bottom w:val="nil"/>
              <w:right w:val="single" w:sz="4" w:space="0" w:color="auto"/>
            </w:tcBorders>
            <w:shd w:val="clear" w:color="auto" w:fill="auto"/>
            <w:noWrap/>
            <w:vAlign w:val="bottom"/>
            <w:hideMark/>
          </w:tcPr>
          <w:p w14:paraId="3679373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63490C2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3</w:t>
            </w:r>
          </w:p>
        </w:tc>
        <w:tc>
          <w:tcPr>
            <w:tcW w:w="860" w:type="dxa"/>
            <w:tcBorders>
              <w:top w:val="nil"/>
              <w:left w:val="nil"/>
              <w:bottom w:val="nil"/>
              <w:right w:val="single" w:sz="4" w:space="0" w:color="auto"/>
            </w:tcBorders>
            <w:shd w:val="clear" w:color="auto" w:fill="auto"/>
            <w:noWrap/>
            <w:vAlign w:val="bottom"/>
            <w:hideMark/>
          </w:tcPr>
          <w:p w14:paraId="0465259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4</w:t>
            </w:r>
          </w:p>
        </w:tc>
        <w:tc>
          <w:tcPr>
            <w:tcW w:w="860" w:type="dxa"/>
            <w:tcBorders>
              <w:top w:val="nil"/>
              <w:left w:val="nil"/>
              <w:bottom w:val="nil"/>
              <w:right w:val="single" w:sz="4" w:space="0" w:color="auto"/>
            </w:tcBorders>
            <w:shd w:val="clear" w:color="auto" w:fill="auto"/>
            <w:noWrap/>
            <w:vAlign w:val="bottom"/>
            <w:hideMark/>
          </w:tcPr>
          <w:p w14:paraId="375EF1E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4</w:t>
            </w:r>
          </w:p>
        </w:tc>
        <w:tc>
          <w:tcPr>
            <w:tcW w:w="860" w:type="dxa"/>
            <w:tcBorders>
              <w:top w:val="nil"/>
              <w:left w:val="nil"/>
              <w:bottom w:val="nil"/>
              <w:right w:val="single" w:sz="8" w:space="0" w:color="auto"/>
            </w:tcBorders>
            <w:shd w:val="clear" w:color="auto" w:fill="auto"/>
            <w:noWrap/>
            <w:vAlign w:val="bottom"/>
            <w:hideMark/>
          </w:tcPr>
          <w:p w14:paraId="50724C8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19</w:t>
            </w:r>
          </w:p>
        </w:tc>
      </w:tr>
      <w:tr w:rsidR="004E4CA9" w:rsidRPr="004E4CA9" w14:paraId="52EEAE95"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0309620F"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Viridian</w:t>
            </w:r>
          </w:p>
        </w:tc>
        <w:tc>
          <w:tcPr>
            <w:tcW w:w="860" w:type="dxa"/>
            <w:tcBorders>
              <w:top w:val="nil"/>
              <w:left w:val="single" w:sz="4" w:space="0" w:color="auto"/>
              <w:bottom w:val="nil"/>
              <w:right w:val="single" w:sz="4" w:space="0" w:color="auto"/>
            </w:tcBorders>
            <w:shd w:val="clear" w:color="000000" w:fill="D9D9D9"/>
            <w:noWrap/>
            <w:vAlign w:val="bottom"/>
            <w:hideMark/>
          </w:tcPr>
          <w:p w14:paraId="1A0380C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5</w:t>
            </w:r>
          </w:p>
        </w:tc>
        <w:tc>
          <w:tcPr>
            <w:tcW w:w="860" w:type="dxa"/>
            <w:tcBorders>
              <w:top w:val="nil"/>
              <w:left w:val="nil"/>
              <w:bottom w:val="nil"/>
              <w:right w:val="single" w:sz="4" w:space="0" w:color="auto"/>
            </w:tcBorders>
            <w:shd w:val="clear" w:color="000000" w:fill="D9D9D9"/>
            <w:noWrap/>
            <w:vAlign w:val="bottom"/>
            <w:hideMark/>
          </w:tcPr>
          <w:p w14:paraId="137086B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6</w:t>
            </w:r>
          </w:p>
        </w:tc>
        <w:tc>
          <w:tcPr>
            <w:tcW w:w="860" w:type="dxa"/>
            <w:tcBorders>
              <w:top w:val="nil"/>
              <w:left w:val="nil"/>
              <w:bottom w:val="nil"/>
              <w:right w:val="single" w:sz="4" w:space="0" w:color="auto"/>
            </w:tcBorders>
            <w:shd w:val="clear" w:color="000000" w:fill="D9D9D9"/>
            <w:noWrap/>
            <w:vAlign w:val="bottom"/>
            <w:hideMark/>
          </w:tcPr>
          <w:p w14:paraId="5EED40A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4ED6DBA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23B669D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2</w:t>
            </w:r>
          </w:p>
        </w:tc>
        <w:tc>
          <w:tcPr>
            <w:tcW w:w="860" w:type="dxa"/>
            <w:tcBorders>
              <w:top w:val="nil"/>
              <w:left w:val="nil"/>
              <w:bottom w:val="nil"/>
              <w:right w:val="single" w:sz="4" w:space="0" w:color="auto"/>
            </w:tcBorders>
            <w:shd w:val="clear" w:color="000000" w:fill="D9D9D9"/>
            <w:noWrap/>
            <w:vAlign w:val="bottom"/>
            <w:hideMark/>
          </w:tcPr>
          <w:p w14:paraId="28074FD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000000" w:fill="D9D9D9"/>
            <w:noWrap/>
            <w:vAlign w:val="bottom"/>
            <w:hideMark/>
          </w:tcPr>
          <w:p w14:paraId="3B8E08A6"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14</w:t>
            </w:r>
          </w:p>
        </w:tc>
      </w:tr>
      <w:tr w:rsidR="004E4CA9" w:rsidRPr="004E4CA9" w14:paraId="5C0D79B3"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29AC61A6"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North American Power &amp; Gas</w:t>
            </w:r>
          </w:p>
        </w:tc>
        <w:tc>
          <w:tcPr>
            <w:tcW w:w="860" w:type="dxa"/>
            <w:tcBorders>
              <w:top w:val="nil"/>
              <w:left w:val="single" w:sz="4" w:space="0" w:color="auto"/>
              <w:bottom w:val="nil"/>
              <w:right w:val="single" w:sz="4" w:space="0" w:color="auto"/>
            </w:tcBorders>
            <w:shd w:val="clear" w:color="auto" w:fill="auto"/>
            <w:noWrap/>
            <w:vAlign w:val="bottom"/>
            <w:hideMark/>
          </w:tcPr>
          <w:p w14:paraId="552AD6C6"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677E4FF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73CF392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6FD09FB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7</w:t>
            </w:r>
          </w:p>
        </w:tc>
        <w:tc>
          <w:tcPr>
            <w:tcW w:w="860" w:type="dxa"/>
            <w:tcBorders>
              <w:top w:val="nil"/>
              <w:left w:val="nil"/>
              <w:bottom w:val="nil"/>
              <w:right w:val="single" w:sz="4" w:space="0" w:color="auto"/>
            </w:tcBorders>
            <w:shd w:val="clear" w:color="auto" w:fill="auto"/>
            <w:noWrap/>
            <w:vAlign w:val="bottom"/>
            <w:hideMark/>
          </w:tcPr>
          <w:p w14:paraId="318C878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2</w:t>
            </w:r>
          </w:p>
        </w:tc>
        <w:tc>
          <w:tcPr>
            <w:tcW w:w="860" w:type="dxa"/>
            <w:tcBorders>
              <w:top w:val="nil"/>
              <w:left w:val="nil"/>
              <w:bottom w:val="nil"/>
              <w:right w:val="single" w:sz="4" w:space="0" w:color="auto"/>
            </w:tcBorders>
            <w:shd w:val="clear" w:color="auto" w:fill="auto"/>
            <w:noWrap/>
            <w:vAlign w:val="bottom"/>
            <w:hideMark/>
          </w:tcPr>
          <w:p w14:paraId="773706BF"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2</w:t>
            </w:r>
          </w:p>
        </w:tc>
        <w:tc>
          <w:tcPr>
            <w:tcW w:w="860" w:type="dxa"/>
            <w:tcBorders>
              <w:top w:val="nil"/>
              <w:left w:val="nil"/>
              <w:bottom w:val="nil"/>
              <w:right w:val="single" w:sz="8" w:space="0" w:color="auto"/>
            </w:tcBorders>
            <w:shd w:val="clear" w:color="auto" w:fill="auto"/>
            <w:noWrap/>
            <w:vAlign w:val="bottom"/>
            <w:hideMark/>
          </w:tcPr>
          <w:p w14:paraId="150AD80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12</w:t>
            </w:r>
          </w:p>
        </w:tc>
      </w:tr>
      <w:tr w:rsidR="004E4CA9" w:rsidRPr="004E4CA9" w14:paraId="5919B6F1"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0C02B1FB"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Choice</w:t>
            </w:r>
          </w:p>
        </w:tc>
        <w:tc>
          <w:tcPr>
            <w:tcW w:w="860" w:type="dxa"/>
            <w:tcBorders>
              <w:top w:val="nil"/>
              <w:left w:val="single" w:sz="4" w:space="0" w:color="auto"/>
              <w:bottom w:val="nil"/>
              <w:right w:val="single" w:sz="4" w:space="0" w:color="auto"/>
            </w:tcBorders>
            <w:shd w:val="clear" w:color="000000" w:fill="D9D9D9"/>
            <w:noWrap/>
            <w:vAlign w:val="bottom"/>
            <w:hideMark/>
          </w:tcPr>
          <w:p w14:paraId="5E729784"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6D2B78A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37C1308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096FA75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1B73E849"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48A30206"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2</w:t>
            </w:r>
          </w:p>
        </w:tc>
        <w:tc>
          <w:tcPr>
            <w:tcW w:w="860" w:type="dxa"/>
            <w:tcBorders>
              <w:top w:val="nil"/>
              <w:left w:val="nil"/>
              <w:bottom w:val="nil"/>
              <w:right w:val="single" w:sz="8" w:space="0" w:color="auto"/>
            </w:tcBorders>
            <w:shd w:val="clear" w:color="000000" w:fill="D9D9D9"/>
            <w:noWrap/>
            <w:vAlign w:val="bottom"/>
            <w:hideMark/>
          </w:tcPr>
          <w:p w14:paraId="3091814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4</w:t>
            </w:r>
          </w:p>
        </w:tc>
      </w:tr>
      <w:tr w:rsidR="004E4CA9" w:rsidRPr="004E4CA9" w14:paraId="3F8DCF8F"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4A8C2B32"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Dominion</w:t>
            </w:r>
          </w:p>
        </w:tc>
        <w:tc>
          <w:tcPr>
            <w:tcW w:w="860" w:type="dxa"/>
            <w:tcBorders>
              <w:top w:val="nil"/>
              <w:left w:val="single" w:sz="4" w:space="0" w:color="auto"/>
              <w:bottom w:val="nil"/>
              <w:right w:val="single" w:sz="4" w:space="0" w:color="auto"/>
            </w:tcBorders>
            <w:shd w:val="clear" w:color="auto" w:fill="auto"/>
            <w:noWrap/>
            <w:vAlign w:val="bottom"/>
            <w:hideMark/>
          </w:tcPr>
          <w:p w14:paraId="7E61E95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0D428A9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CCAF18F"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20A1D1B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7AF7405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7A6CCBF4"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8" w:space="0" w:color="auto"/>
            </w:tcBorders>
            <w:shd w:val="clear" w:color="auto" w:fill="auto"/>
            <w:noWrap/>
            <w:vAlign w:val="bottom"/>
            <w:hideMark/>
          </w:tcPr>
          <w:p w14:paraId="3AD95B3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3</w:t>
            </w:r>
          </w:p>
        </w:tc>
      </w:tr>
      <w:tr w:rsidR="004E4CA9" w:rsidRPr="004E4CA9" w14:paraId="6F6E21BA"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3E6074B8"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Clearview</w:t>
            </w:r>
          </w:p>
        </w:tc>
        <w:tc>
          <w:tcPr>
            <w:tcW w:w="860" w:type="dxa"/>
            <w:tcBorders>
              <w:top w:val="nil"/>
              <w:left w:val="single" w:sz="4" w:space="0" w:color="auto"/>
              <w:bottom w:val="nil"/>
              <w:right w:val="single" w:sz="4" w:space="0" w:color="auto"/>
            </w:tcBorders>
            <w:shd w:val="clear" w:color="000000" w:fill="D9D9D9"/>
            <w:noWrap/>
            <w:vAlign w:val="bottom"/>
            <w:hideMark/>
          </w:tcPr>
          <w:p w14:paraId="156A938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34AA965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0F56112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73DBAEB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4DCACE97"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7864598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000000" w:fill="D9D9D9"/>
            <w:noWrap/>
            <w:vAlign w:val="bottom"/>
            <w:hideMark/>
          </w:tcPr>
          <w:p w14:paraId="3CCBBF1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2</w:t>
            </w:r>
          </w:p>
        </w:tc>
      </w:tr>
      <w:tr w:rsidR="004E4CA9" w:rsidRPr="004E4CA9" w14:paraId="426BEB6C"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6F10D700"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Con Edison Solutions</w:t>
            </w:r>
          </w:p>
        </w:tc>
        <w:tc>
          <w:tcPr>
            <w:tcW w:w="860" w:type="dxa"/>
            <w:tcBorders>
              <w:top w:val="nil"/>
              <w:left w:val="single" w:sz="4" w:space="0" w:color="auto"/>
              <w:bottom w:val="nil"/>
              <w:right w:val="single" w:sz="4" w:space="0" w:color="auto"/>
            </w:tcBorders>
            <w:shd w:val="clear" w:color="auto" w:fill="auto"/>
            <w:noWrap/>
            <w:vAlign w:val="bottom"/>
            <w:hideMark/>
          </w:tcPr>
          <w:p w14:paraId="741513B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67A1F89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BC9CF9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182D591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1EC00959"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833591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8" w:space="0" w:color="auto"/>
            </w:tcBorders>
            <w:shd w:val="clear" w:color="auto" w:fill="auto"/>
            <w:noWrap/>
            <w:vAlign w:val="bottom"/>
            <w:hideMark/>
          </w:tcPr>
          <w:p w14:paraId="74ECFB27"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2</w:t>
            </w:r>
          </w:p>
        </w:tc>
      </w:tr>
      <w:tr w:rsidR="004E4CA9" w:rsidRPr="004E4CA9" w14:paraId="7A72773C"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41336992"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Constellation Energy</w:t>
            </w:r>
          </w:p>
        </w:tc>
        <w:tc>
          <w:tcPr>
            <w:tcW w:w="860" w:type="dxa"/>
            <w:tcBorders>
              <w:top w:val="nil"/>
              <w:left w:val="single" w:sz="4" w:space="0" w:color="auto"/>
              <w:bottom w:val="nil"/>
              <w:right w:val="single" w:sz="4" w:space="0" w:color="auto"/>
            </w:tcBorders>
            <w:shd w:val="clear" w:color="000000" w:fill="D9D9D9"/>
            <w:noWrap/>
            <w:vAlign w:val="bottom"/>
            <w:hideMark/>
          </w:tcPr>
          <w:p w14:paraId="6C65EFF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1DB4909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331C601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629F9E7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208EE69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2531F56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000000" w:fill="D9D9D9"/>
            <w:noWrap/>
            <w:vAlign w:val="bottom"/>
            <w:hideMark/>
          </w:tcPr>
          <w:p w14:paraId="089FEDC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2</w:t>
            </w:r>
          </w:p>
        </w:tc>
      </w:tr>
      <w:tr w:rsidR="004E4CA9" w:rsidRPr="004E4CA9" w14:paraId="27A0C8FF"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1455279E"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Ambit</w:t>
            </w:r>
          </w:p>
        </w:tc>
        <w:tc>
          <w:tcPr>
            <w:tcW w:w="860" w:type="dxa"/>
            <w:tcBorders>
              <w:top w:val="nil"/>
              <w:left w:val="single" w:sz="4" w:space="0" w:color="auto"/>
              <w:bottom w:val="nil"/>
              <w:right w:val="single" w:sz="4" w:space="0" w:color="auto"/>
            </w:tcBorders>
            <w:shd w:val="clear" w:color="auto" w:fill="auto"/>
            <w:noWrap/>
            <w:vAlign w:val="bottom"/>
            <w:hideMark/>
          </w:tcPr>
          <w:p w14:paraId="21DDA4C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4F06371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3C7D137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255FFA4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6E11EF14"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10DB85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auto" w:fill="auto"/>
            <w:noWrap/>
            <w:vAlign w:val="bottom"/>
            <w:hideMark/>
          </w:tcPr>
          <w:p w14:paraId="4664E48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6F058D2E"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5E4B94F5"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CT Gas &amp; Electric</w:t>
            </w:r>
          </w:p>
        </w:tc>
        <w:tc>
          <w:tcPr>
            <w:tcW w:w="860" w:type="dxa"/>
            <w:tcBorders>
              <w:top w:val="nil"/>
              <w:left w:val="single" w:sz="4" w:space="0" w:color="auto"/>
              <w:bottom w:val="nil"/>
              <w:right w:val="single" w:sz="4" w:space="0" w:color="auto"/>
            </w:tcBorders>
            <w:shd w:val="clear" w:color="000000" w:fill="D9D9D9"/>
            <w:noWrap/>
            <w:vAlign w:val="bottom"/>
            <w:hideMark/>
          </w:tcPr>
          <w:p w14:paraId="149E6F4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1D20667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7F08A5D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09D03B66"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1483746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121442D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000000" w:fill="D9D9D9"/>
            <w:noWrap/>
            <w:vAlign w:val="bottom"/>
            <w:hideMark/>
          </w:tcPr>
          <w:p w14:paraId="2E5431C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1727F981"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43061645"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Discount Power</w:t>
            </w:r>
          </w:p>
        </w:tc>
        <w:tc>
          <w:tcPr>
            <w:tcW w:w="860" w:type="dxa"/>
            <w:tcBorders>
              <w:top w:val="nil"/>
              <w:left w:val="single" w:sz="4" w:space="0" w:color="auto"/>
              <w:bottom w:val="nil"/>
              <w:right w:val="single" w:sz="4" w:space="0" w:color="auto"/>
            </w:tcBorders>
            <w:shd w:val="clear" w:color="auto" w:fill="auto"/>
            <w:noWrap/>
            <w:vAlign w:val="bottom"/>
            <w:hideMark/>
          </w:tcPr>
          <w:p w14:paraId="5B9138F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6D427A9F"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2A67166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FD2616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54EE8D6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5EB4312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auto" w:fill="auto"/>
            <w:noWrap/>
            <w:vAlign w:val="bottom"/>
            <w:hideMark/>
          </w:tcPr>
          <w:p w14:paraId="41CE01C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2B8BE37B"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739B9025"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Energy Plus</w:t>
            </w:r>
          </w:p>
        </w:tc>
        <w:tc>
          <w:tcPr>
            <w:tcW w:w="860" w:type="dxa"/>
            <w:tcBorders>
              <w:top w:val="nil"/>
              <w:left w:val="single" w:sz="4" w:space="0" w:color="auto"/>
              <w:bottom w:val="nil"/>
              <w:right w:val="single" w:sz="4" w:space="0" w:color="auto"/>
            </w:tcBorders>
            <w:shd w:val="clear" w:color="000000" w:fill="D9D9D9"/>
            <w:noWrap/>
            <w:vAlign w:val="bottom"/>
            <w:hideMark/>
          </w:tcPr>
          <w:p w14:paraId="31F5C3D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3C6603D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30AD291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7E0D373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5C0CCC44"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72053407"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000000" w:fill="D9D9D9"/>
            <w:noWrap/>
            <w:vAlign w:val="bottom"/>
            <w:hideMark/>
          </w:tcPr>
          <w:p w14:paraId="4CA9DCE4"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4BD4CC80"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30A2B88E"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HIKO Energy LLC</w:t>
            </w:r>
          </w:p>
        </w:tc>
        <w:tc>
          <w:tcPr>
            <w:tcW w:w="860" w:type="dxa"/>
            <w:tcBorders>
              <w:top w:val="nil"/>
              <w:left w:val="single" w:sz="4" w:space="0" w:color="auto"/>
              <w:bottom w:val="nil"/>
              <w:right w:val="single" w:sz="4" w:space="0" w:color="auto"/>
            </w:tcBorders>
            <w:shd w:val="clear" w:color="auto" w:fill="auto"/>
            <w:noWrap/>
            <w:vAlign w:val="bottom"/>
            <w:hideMark/>
          </w:tcPr>
          <w:p w14:paraId="6D8EF56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20686341"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5FB4865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2B9357C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E9B5DC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3968CDF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8" w:space="0" w:color="auto"/>
            </w:tcBorders>
            <w:shd w:val="clear" w:color="auto" w:fill="auto"/>
            <w:noWrap/>
            <w:vAlign w:val="bottom"/>
            <w:hideMark/>
          </w:tcPr>
          <w:p w14:paraId="04B26B8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36CEBC71"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3DB620E5"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Liberty Power</w:t>
            </w:r>
          </w:p>
        </w:tc>
        <w:tc>
          <w:tcPr>
            <w:tcW w:w="860" w:type="dxa"/>
            <w:tcBorders>
              <w:top w:val="nil"/>
              <w:left w:val="single" w:sz="4" w:space="0" w:color="auto"/>
              <w:bottom w:val="nil"/>
              <w:right w:val="single" w:sz="4" w:space="0" w:color="auto"/>
            </w:tcBorders>
            <w:shd w:val="clear" w:color="000000" w:fill="D9D9D9"/>
            <w:noWrap/>
            <w:vAlign w:val="bottom"/>
            <w:hideMark/>
          </w:tcPr>
          <w:p w14:paraId="0F18B53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41ED4936"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471E7FF9"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782047C0"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096D77D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479BBDA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000000" w:fill="D9D9D9"/>
            <w:noWrap/>
            <w:vAlign w:val="bottom"/>
            <w:hideMark/>
          </w:tcPr>
          <w:p w14:paraId="3CC6EF1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2CCD8593"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341FFD4A"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Perigree</w:t>
            </w:r>
          </w:p>
        </w:tc>
        <w:tc>
          <w:tcPr>
            <w:tcW w:w="860" w:type="dxa"/>
            <w:tcBorders>
              <w:top w:val="nil"/>
              <w:left w:val="single" w:sz="4" w:space="0" w:color="auto"/>
              <w:bottom w:val="nil"/>
              <w:right w:val="single" w:sz="4" w:space="0" w:color="auto"/>
            </w:tcBorders>
            <w:shd w:val="clear" w:color="auto" w:fill="auto"/>
            <w:noWrap/>
            <w:vAlign w:val="bottom"/>
            <w:hideMark/>
          </w:tcPr>
          <w:p w14:paraId="4A44C93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BE8FC5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4425142F"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5D84179A"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2F8A688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6BD9E1D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auto" w:fill="auto"/>
            <w:noWrap/>
            <w:vAlign w:val="bottom"/>
            <w:hideMark/>
          </w:tcPr>
          <w:p w14:paraId="20BA795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5FF14E89" w14:textId="77777777" w:rsidTr="004E4CA9">
        <w:trPr>
          <w:trHeight w:val="280"/>
        </w:trPr>
        <w:tc>
          <w:tcPr>
            <w:tcW w:w="2920" w:type="dxa"/>
            <w:tcBorders>
              <w:top w:val="nil"/>
              <w:left w:val="single" w:sz="8" w:space="0" w:color="auto"/>
              <w:bottom w:val="nil"/>
              <w:right w:val="nil"/>
            </w:tcBorders>
            <w:shd w:val="clear" w:color="000000" w:fill="D9D9D9"/>
            <w:noWrap/>
            <w:vAlign w:val="bottom"/>
            <w:hideMark/>
          </w:tcPr>
          <w:p w14:paraId="638A2E1E"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Spark</w:t>
            </w:r>
          </w:p>
        </w:tc>
        <w:tc>
          <w:tcPr>
            <w:tcW w:w="860" w:type="dxa"/>
            <w:tcBorders>
              <w:top w:val="nil"/>
              <w:left w:val="single" w:sz="4" w:space="0" w:color="auto"/>
              <w:bottom w:val="nil"/>
              <w:right w:val="single" w:sz="4" w:space="0" w:color="auto"/>
            </w:tcBorders>
            <w:shd w:val="clear" w:color="000000" w:fill="D9D9D9"/>
            <w:noWrap/>
            <w:vAlign w:val="bottom"/>
            <w:hideMark/>
          </w:tcPr>
          <w:p w14:paraId="47182D4F"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058F059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5AD56BA8"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48900005"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000000" w:fill="D9D9D9"/>
            <w:noWrap/>
            <w:vAlign w:val="bottom"/>
            <w:hideMark/>
          </w:tcPr>
          <w:p w14:paraId="575DA08C"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000000" w:fill="D9D9D9"/>
            <w:noWrap/>
            <w:vAlign w:val="bottom"/>
            <w:hideMark/>
          </w:tcPr>
          <w:p w14:paraId="3DE507C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000000" w:fill="D9D9D9"/>
            <w:noWrap/>
            <w:vAlign w:val="bottom"/>
            <w:hideMark/>
          </w:tcPr>
          <w:p w14:paraId="166947B9"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179A0A21" w14:textId="77777777" w:rsidTr="004E4CA9">
        <w:trPr>
          <w:trHeight w:val="280"/>
        </w:trPr>
        <w:tc>
          <w:tcPr>
            <w:tcW w:w="2920" w:type="dxa"/>
            <w:tcBorders>
              <w:top w:val="nil"/>
              <w:left w:val="single" w:sz="8" w:space="0" w:color="auto"/>
              <w:bottom w:val="nil"/>
              <w:right w:val="nil"/>
            </w:tcBorders>
            <w:shd w:val="clear" w:color="auto" w:fill="auto"/>
            <w:noWrap/>
            <w:vAlign w:val="bottom"/>
            <w:hideMark/>
          </w:tcPr>
          <w:p w14:paraId="475EBECD" w14:textId="77777777" w:rsidR="004E4CA9" w:rsidRPr="004E4CA9" w:rsidRDefault="004E4CA9" w:rsidP="004E4CA9">
            <w:pPr>
              <w:keepNext/>
              <w:keepLines/>
              <w:widowControl/>
              <w:autoSpaceDE/>
              <w:autoSpaceDN/>
              <w:adjustRightInd/>
              <w:rPr>
                <w:color w:val="000000"/>
                <w:sz w:val="22"/>
                <w:szCs w:val="22"/>
              </w:rPr>
            </w:pPr>
            <w:r w:rsidRPr="004E4CA9">
              <w:rPr>
                <w:color w:val="000000"/>
                <w:sz w:val="22"/>
                <w:szCs w:val="22"/>
              </w:rPr>
              <w:t>Verde</w:t>
            </w:r>
          </w:p>
        </w:tc>
        <w:tc>
          <w:tcPr>
            <w:tcW w:w="860" w:type="dxa"/>
            <w:tcBorders>
              <w:top w:val="nil"/>
              <w:left w:val="single" w:sz="4" w:space="0" w:color="auto"/>
              <w:bottom w:val="nil"/>
              <w:right w:val="single" w:sz="4" w:space="0" w:color="auto"/>
            </w:tcBorders>
            <w:shd w:val="clear" w:color="auto" w:fill="auto"/>
            <w:noWrap/>
            <w:vAlign w:val="bottom"/>
            <w:hideMark/>
          </w:tcPr>
          <w:p w14:paraId="18CAA0E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308C97D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1CAAC51D"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5E58BC7B"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c>
          <w:tcPr>
            <w:tcW w:w="860" w:type="dxa"/>
            <w:tcBorders>
              <w:top w:val="nil"/>
              <w:left w:val="nil"/>
              <w:bottom w:val="nil"/>
              <w:right w:val="single" w:sz="4" w:space="0" w:color="auto"/>
            </w:tcBorders>
            <w:shd w:val="clear" w:color="auto" w:fill="auto"/>
            <w:noWrap/>
            <w:vAlign w:val="bottom"/>
            <w:hideMark/>
          </w:tcPr>
          <w:p w14:paraId="0D439773"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4" w:space="0" w:color="auto"/>
            </w:tcBorders>
            <w:shd w:val="clear" w:color="auto" w:fill="auto"/>
            <w:noWrap/>
            <w:vAlign w:val="bottom"/>
            <w:hideMark/>
          </w:tcPr>
          <w:p w14:paraId="7515C54E"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0</w:t>
            </w:r>
          </w:p>
        </w:tc>
        <w:tc>
          <w:tcPr>
            <w:tcW w:w="860" w:type="dxa"/>
            <w:tcBorders>
              <w:top w:val="nil"/>
              <w:left w:val="nil"/>
              <w:bottom w:val="nil"/>
              <w:right w:val="single" w:sz="8" w:space="0" w:color="auto"/>
            </w:tcBorders>
            <w:shd w:val="clear" w:color="auto" w:fill="auto"/>
            <w:noWrap/>
            <w:vAlign w:val="bottom"/>
            <w:hideMark/>
          </w:tcPr>
          <w:p w14:paraId="5F3F39D2" w14:textId="77777777" w:rsidR="004E4CA9" w:rsidRPr="004E4CA9" w:rsidRDefault="004E4CA9" w:rsidP="004E4CA9">
            <w:pPr>
              <w:keepNext/>
              <w:keepLines/>
              <w:widowControl/>
              <w:autoSpaceDE/>
              <w:autoSpaceDN/>
              <w:adjustRightInd/>
              <w:jc w:val="right"/>
              <w:rPr>
                <w:color w:val="000000"/>
                <w:sz w:val="22"/>
                <w:szCs w:val="22"/>
              </w:rPr>
            </w:pPr>
            <w:r w:rsidRPr="004E4CA9">
              <w:rPr>
                <w:color w:val="000000"/>
                <w:sz w:val="22"/>
                <w:szCs w:val="22"/>
              </w:rPr>
              <w:t>1</w:t>
            </w:r>
          </w:p>
        </w:tc>
      </w:tr>
      <w:tr w:rsidR="004E4CA9" w:rsidRPr="004E4CA9" w14:paraId="49AAFB36" w14:textId="77777777" w:rsidTr="004E4CA9">
        <w:trPr>
          <w:trHeight w:val="380"/>
        </w:trPr>
        <w:tc>
          <w:tcPr>
            <w:tcW w:w="2920" w:type="dxa"/>
            <w:tcBorders>
              <w:top w:val="nil"/>
              <w:left w:val="single" w:sz="8" w:space="0" w:color="auto"/>
              <w:bottom w:val="single" w:sz="8" w:space="0" w:color="auto"/>
              <w:right w:val="nil"/>
            </w:tcBorders>
            <w:shd w:val="clear" w:color="000000" w:fill="BFBFBF"/>
            <w:noWrap/>
            <w:vAlign w:val="bottom"/>
            <w:hideMark/>
          </w:tcPr>
          <w:p w14:paraId="0B83497E" w14:textId="77777777" w:rsidR="004E4CA9" w:rsidRPr="004E4CA9" w:rsidRDefault="004E4CA9" w:rsidP="004E4CA9">
            <w:pPr>
              <w:keepNext/>
              <w:keepLines/>
              <w:widowControl/>
              <w:autoSpaceDE/>
              <w:autoSpaceDN/>
              <w:adjustRightInd/>
              <w:rPr>
                <w:b/>
                <w:bCs/>
                <w:color w:val="000000"/>
                <w:sz w:val="22"/>
                <w:szCs w:val="22"/>
              </w:rPr>
            </w:pPr>
            <w:r w:rsidRPr="004E4CA9">
              <w:rPr>
                <w:b/>
                <w:bCs/>
                <w:color w:val="000000"/>
                <w:sz w:val="22"/>
                <w:szCs w:val="22"/>
              </w:rPr>
              <w:t>TOTALS</w:t>
            </w:r>
          </w:p>
        </w:tc>
        <w:tc>
          <w:tcPr>
            <w:tcW w:w="860" w:type="dxa"/>
            <w:tcBorders>
              <w:top w:val="nil"/>
              <w:left w:val="single" w:sz="4" w:space="0" w:color="auto"/>
              <w:bottom w:val="single" w:sz="8" w:space="0" w:color="auto"/>
              <w:right w:val="single" w:sz="4" w:space="0" w:color="auto"/>
            </w:tcBorders>
            <w:shd w:val="clear" w:color="000000" w:fill="BFBFBF"/>
            <w:noWrap/>
            <w:vAlign w:val="bottom"/>
            <w:hideMark/>
          </w:tcPr>
          <w:p w14:paraId="46A70E69" w14:textId="77777777" w:rsidR="004E4CA9" w:rsidRPr="004E4CA9" w:rsidRDefault="004E4CA9" w:rsidP="004E4CA9">
            <w:pPr>
              <w:keepNext/>
              <w:keepLines/>
              <w:widowControl/>
              <w:autoSpaceDE/>
              <w:autoSpaceDN/>
              <w:adjustRightInd/>
              <w:jc w:val="right"/>
              <w:rPr>
                <w:b/>
                <w:bCs/>
                <w:color w:val="000000"/>
                <w:sz w:val="22"/>
                <w:szCs w:val="22"/>
              </w:rPr>
            </w:pPr>
            <w:r w:rsidRPr="004E4CA9">
              <w:rPr>
                <w:b/>
                <w:bCs/>
                <w:color w:val="000000"/>
                <w:sz w:val="22"/>
                <w:szCs w:val="22"/>
              </w:rPr>
              <w:t>11</w:t>
            </w:r>
          </w:p>
        </w:tc>
        <w:tc>
          <w:tcPr>
            <w:tcW w:w="860" w:type="dxa"/>
            <w:tcBorders>
              <w:top w:val="nil"/>
              <w:left w:val="nil"/>
              <w:bottom w:val="single" w:sz="8" w:space="0" w:color="auto"/>
              <w:right w:val="single" w:sz="4" w:space="0" w:color="auto"/>
            </w:tcBorders>
            <w:shd w:val="clear" w:color="000000" w:fill="BFBFBF"/>
            <w:noWrap/>
            <w:vAlign w:val="bottom"/>
            <w:hideMark/>
          </w:tcPr>
          <w:p w14:paraId="11E0AF5C" w14:textId="77777777" w:rsidR="004E4CA9" w:rsidRPr="004E4CA9" w:rsidRDefault="004E4CA9" w:rsidP="004E4CA9">
            <w:pPr>
              <w:keepNext/>
              <w:keepLines/>
              <w:widowControl/>
              <w:autoSpaceDE/>
              <w:autoSpaceDN/>
              <w:adjustRightInd/>
              <w:jc w:val="right"/>
              <w:rPr>
                <w:b/>
                <w:bCs/>
                <w:color w:val="000000"/>
                <w:sz w:val="22"/>
                <w:szCs w:val="22"/>
              </w:rPr>
            </w:pPr>
            <w:r w:rsidRPr="004E4CA9">
              <w:rPr>
                <w:b/>
                <w:bCs/>
                <w:color w:val="000000"/>
                <w:sz w:val="22"/>
                <w:szCs w:val="22"/>
              </w:rPr>
              <w:t>34</w:t>
            </w:r>
          </w:p>
        </w:tc>
        <w:tc>
          <w:tcPr>
            <w:tcW w:w="860" w:type="dxa"/>
            <w:tcBorders>
              <w:top w:val="nil"/>
              <w:left w:val="nil"/>
              <w:bottom w:val="single" w:sz="8" w:space="0" w:color="auto"/>
              <w:right w:val="single" w:sz="4" w:space="0" w:color="auto"/>
            </w:tcBorders>
            <w:shd w:val="clear" w:color="000000" w:fill="BFBFBF"/>
            <w:noWrap/>
            <w:vAlign w:val="bottom"/>
            <w:hideMark/>
          </w:tcPr>
          <w:p w14:paraId="73B40E65" w14:textId="77777777" w:rsidR="004E4CA9" w:rsidRPr="004E4CA9" w:rsidRDefault="004E4CA9" w:rsidP="004E4CA9">
            <w:pPr>
              <w:keepNext/>
              <w:keepLines/>
              <w:widowControl/>
              <w:autoSpaceDE/>
              <w:autoSpaceDN/>
              <w:adjustRightInd/>
              <w:jc w:val="right"/>
              <w:rPr>
                <w:b/>
                <w:bCs/>
                <w:color w:val="000000"/>
                <w:sz w:val="22"/>
                <w:szCs w:val="22"/>
              </w:rPr>
            </w:pPr>
            <w:r w:rsidRPr="004E4CA9">
              <w:rPr>
                <w:b/>
                <w:bCs/>
                <w:color w:val="000000"/>
                <w:sz w:val="22"/>
                <w:szCs w:val="22"/>
              </w:rPr>
              <w:t>11</w:t>
            </w:r>
          </w:p>
        </w:tc>
        <w:tc>
          <w:tcPr>
            <w:tcW w:w="860" w:type="dxa"/>
            <w:tcBorders>
              <w:top w:val="nil"/>
              <w:left w:val="nil"/>
              <w:bottom w:val="single" w:sz="8" w:space="0" w:color="auto"/>
              <w:right w:val="single" w:sz="4" w:space="0" w:color="auto"/>
            </w:tcBorders>
            <w:shd w:val="clear" w:color="000000" w:fill="BFBFBF"/>
            <w:noWrap/>
            <w:vAlign w:val="bottom"/>
            <w:hideMark/>
          </w:tcPr>
          <w:p w14:paraId="5D993ED0" w14:textId="77777777" w:rsidR="004E4CA9" w:rsidRPr="004E4CA9" w:rsidRDefault="004E4CA9" w:rsidP="004E4CA9">
            <w:pPr>
              <w:keepNext/>
              <w:keepLines/>
              <w:widowControl/>
              <w:autoSpaceDE/>
              <w:autoSpaceDN/>
              <w:adjustRightInd/>
              <w:jc w:val="right"/>
              <w:rPr>
                <w:b/>
                <w:bCs/>
                <w:color w:val="000000"/>
                <w:sz w:val="22"/>
                <w:szCs w:val="22"/>
              </w:rPr>
            </w:pPr>
            <w:r w:rsidRPr="004E4CA9">
              <w:rPr>
                <w:b/>
                <w:bCs/>
                <w:color w:val="000000"/>
                <w:sz w:val="22"/>
                <w:szCs w:val="22"/>
              </w:rPr>
              <w:t>46</w:t>
            </w:r>
          </w:p>
        </w:tc>
        <w:tc>
          <w:tcPr>
            <w:tcW w:w="860" w:type="dxa"/>
            <w:tcBorders>
              <w:top w:val="nil"/>
              <w:left w:val="nil"/>
              <w:bottom w:val="single" w:sz="8" w:space="0" w:color="auto"/>
              <w:right w:val="single" w:sz="4" w:space="0" w:color="auto"/>
            </w:tcBorders>
            <w:shd w:val="clear" w:color="000000" w:fill="BFBFBF"/>
            <w:noWrap/>
            <w:vAlign w:val="bottom"/>
            <w:hideMark/>
          </w:tcPr>
          <w:p w14:paraId="5B0B90CC" w14:textId="77777777" w:rsidR="004E4CA9" w:rsidRPr="004E4CA9" w:rsidRDefault="004E4CA9" w:rsidP="004E4CA9">
            <w:pPr>
              <w:keepNext/>
              <w:keepLines/>
              <w:widowControl/>
              <w:autoSpaceDE/>
              <w:autoSpaceDN/>
              <w:adjustRightInd/>
              <w:jc w:val="right"/>
              <w:rPr>
                <w:b/>
                <w:bCs/>
                <w:color w:val="000000"/>
                <w:sz w:val="22"/>
                <w:szCs w:val="22"/>
              </w:rPr>
            </w:pPr>
            <w:r w:rsidRPr="004E4CA9">
              <w:rPr>
                <w:b/>
                <w:bCs/>
                <w:color w:val="000000"/>
                <w:sz w:val="22"/>
                <w:szCs w:val="22"/>
              </w:rPr>
              <w:t>23</w:t>
            </w:r>
          </w:p>
        </w:tc>
        <w:tc>
          <w:tcPr>
            <w:tcW w:w="860" w:type="dxa"/>
            <w:tcBorders>
              <w:top w:val="nil"/>
              <w:left w:val="nil"/>
              <w:bottom w:val="single" w:sz="8" w:space="0" w:color="auto"/>
              <w:right w:val="single" w:sz="4" w:space="0" w:color="auto"/>
            </w:tcBorders>
            <w:shd w:val="clear" w:color="000000" w:fill="BFBFBF"/>
            <w:noWrap/>
            <w:vAlign w:val="bottom"/>
            <w:hideMark/>
          </w:tcPr>
          <w:p w14:paraId="65BEB6C7" w14:textId="77777777" w:rsidR="004E4CA9" w:rsidRPr="004E4CA9" w:rsidRDefault="004E4CA9" w:rsidP="004E4CA9">
            <w:pPr>
              <w:keepNext/>
              <w:keepLines/>
              <w:widowControl/>
              <w:autoSpaceDE/>
              <w:autoSpaceDN/>
              <w:adjustRightInd/>
              <w:jc w:val="right"/>
              <w:rPr>
                <w:b/>
                <w:bCs/>
                <w:color w:val="000000"/>
                <w:sz w:val="22"/>
                <w:szCs w:val="22"/>
              </w:rPr>
            </w:pPr>
            <w:r w:rsidRPr="004E4CA9">
              <w:rPr>
                <w:b/>
                <w:bCs/>
                <w:color w:val="000000"/>
                <w:sz w:val="22"/>
                <w:szCs w:val="22"/>
              </w:rPr>
              <w:t>23</w:t>
            </w:r>
          </w:p>
        </w:tc>
        <w:tc>
          <w:tcPr>
            <w:tcW w:w="860" w:type="dxa"/>
            <w:tcBorders>
              <w:top w:val="nil"/>
              <w:left w:val="nil"/>
              <w:bottom w:val="single" w:sz="8" w:space="0" w:color="auto"/>
              <w:right w:val="single" w:sz="8" w:space="0" w:color="auto"/>
            </w:tcBorders>
            <w:shd w:val="clear" w:color="000000" w:fill="BFBFBF"/>
            <w:noWrap/>
            <w:vAlign w:val="bottom"/>
            <w:hideMark/>
          </w:tcPr>
          <w:p w14:paraId="6076D3DF" w14:textId="77777777" w:rsidR="004E4CA9" w:rsidRPr="004E4CA9" w:rsidRDefault="004E4CA9" w:rsidP="004E4CA9">
            <w:pPr>
              <w:keepNext/>
              <w:keepLines/>
              <w:widowControl/>
              <w:autoSpaceDE/>
              <w:autoSpaceDN/>
              <w:adjustRightInd/>
              <w:jc w:val="right"/>
              <w:rPr>
                <w:b/>
                <w:bCs/>
                <w:color w:val="000000"/>
                <w:sz w:val="22"/>
                <w:szCs w:val="22"/>
              </w:rPr>
            </w:pPr>
            <w:r w:rsidRPr="004E4CA9">
              <w:rPr>
                <w:b/>
                <w:bCs/>
                <w:color w:val="000000"/>
                <w:sz w:val="22"/>
                <w:szCs w:val="22"/>
              </w:rPr>
              <w:t>148</w:t>
            </w:r>
          </w:p>
        </w:tc>
      </w:tr>
    </w:tbl>
    <w:p w14:paraId="3F74215B" w14:textId="77777777" w:rsidR="004E4CA9" w:rsidRDefault="004E4CA9" w:rsidP="00AB5AD4">
      <w:pPr>
        <w:spacing w:line="480" w:lineRule="auto"/>
        <w:ind w:left="720"/>
        <w:jc w:val="center"/>
        <w:rPr>
          <w:b/>
        </w:rPr>
      </w:pPr>
    </w:p>
    <w:p w14:paraId="6530789F" w14:textId="77777777" w:rsidR="00157C92" w:rsidRDefault="000141AC" w:rsidP="0009426F">
      <w:pPr>
        <w:keepNext/>
        <w:keepLines/>
        <w:spacing w:line="480" w:lineRule="auto"/>
        <w:ind w:left="720" w:hanging="720"/>
        <w:outlineLvl w:val="1"/>
        <w:rPr>
          <w:b/>
        </w:rPr>
      </w:pPr>
      <w:bookmarkStart w:id="37" w:name="_Toc382029126"/>
      <w:r>
        <w:rPr>
          <w:b/>
        </w:rPr>
        <w:t>C</w:t>
      </w:r>
      <w:r w:rsidR="00157C92">
        <w:rPr>
          <w:b/>
        </w:rPr>
        <w:t>ustomer credits resulting from complaints to PURA</w:t>
      </w:r>
      <w:bookmarkEnd w:id="37"/>
    </w:p>
    <w:p w14:paraId="0F90606E" w14:textId="77777777" w:rsidR="00157C92" w:rsidRDefault="00157C92" w:rsidP="00157C92">
      <w:pPr>
        <w:spacing w:line="480" w:lineRule="auto"/>
        <w:ind w:left="720" w:hanging="720"/>
        <w:rPr>
          <w:b/>
        </w:rPr>
      </w:pPr>
      <w:r>
        <w:rPr>
          <w:b/>
        </w:rPr>
        <w:t>Q:</w:t>
      </w:r>
      <w:r>
        <w:rPr>
          <w:b/>
        </w:rPr>
        <w:tab/>
        <w:t xml:space="preserve">Does PURA track whether, as a result of </w:t>
      </w:r>
      <w:r w:rsidR="0061774F">
        <w:rPr>
          <w:b/>
        </w:rPr>
        <w:t>a</w:t>
      </w:r>
      <w:r>
        <w:rPr>
          <w:b/>
        </w:rPr>
        <w:t xml:space="preserve"> complaint, the</w:t>
      </w:r>
      <w:r w:rsidR="00A93FF2">
        <w:rPr>
          <w:b/>
        </w:rPr>
        <w:t xml:space="preserve"> Supplier</w:t>
      </w:r>
      <w:r>
        <w:rPr>
          <w:b/>
        </w:rPr>
        <w:t xml:space="preserve"> gives the customer a credit?</w:t>
      </w:r>
    </w:p>
    <w:p w14:paraId="30D00852" w14:textId="77777777" w:rsidR="00157C92" w:rsidRDefault="00157C92" w:rsidP="00157C92">
      <w:pPr>
        <w:spacing w:line="480" w:lineRule="auto"/>
        <w:ind w:left="720" w:hanging="720"/>
      </w:pPr>
      <w:r>
        <w:t>A:</w:t>
      </w:r>
      <w:r>
        <w:tab/>
        <w:t xml:space="preserve">Yes.  Table </w:t>
      </w:r>
      <w:r w:rsidR="00BB64FF">
        <w:t>8</w:t>
      </w:r>
      <w:r>
        <w:t xml:space="preserve"> below shows the quantity and magnitude of credits given, separately by</w:t>
      </w:r>
      <w:r w:rsidR="00A93FF2">
        <w:t xml:space="preserve"> Supplier</w:t>
      </w:r>
      <w:r>
        <w:t>, and shows that this practice varies significantly among</w:t>
      </w:r>
      <w:r w:rsidR="00A93FF2">
        <w:t xml:space="preserve"> Supplier</w:t>
      </w:r>
      <w:r>
        <w:t>s.</w:t>
      </w:r>
      <w:r w:rsidR="002F2E9F">
        <w:t xml:space="preserve">  We</w:t>
      </w:r>
      <w:r w:rsidR="0028683F">
        <w:t xml:space="preserve"> tally a credit only if it appears in the “credit” field on the PURA intake form.</w:t>
      </w:r>
      <w:r w:rsidR="0028683F">
        <w:rPr>
          <w:rStyle w:val="FootnoteReference"/>
        </w:rPr>
        <w:footnoteReference w:id="34"/>
      </w:r>
    </w:p>
    <w:p w14:paraId="37DBF9A5" w14:textId="77777777" w:rsidR="00C02017" w:rsidRPr="00C02017" w:rsidRDefault="00C216BD" w:rsidP="00526AC2">
      <w:pPr>
        <w:keepNext/>
        <w:keepLines/>
        <w:ind w:left="720" w:hanging="720"/>
        <w:jc w:val="center"/>
        <w:rPr>
          <w:b/>
        </w:rPr>
      </w:pPr>
      <w:r>
        <w:rPr>
          <w:b/>
        </w:rPr>
        <w:br w:type="page"/>
      </w:r>
      <w:r w:rsidR="00C02017" w:rsidRPr="00C02017">
        <w:rPr>
          <w:b/>
        </w:rPr>
        <w:t xml:space="preserve">Table </w:t>
      </w:r>
      <w:r w:rsidR="00BB64FF">
        <w:rPr>
          <w:b/>
        </w:rPr>
        <w:t>8</w:t>
      </w:r>
    </w:p>
    <w:p w14:paraId="0D051034" w14:textId="77777777" w:rsidR="00C02017" w:rsidRDefault="00C02017" w:rsidP="00526AC2">
      <w:pPr>
        <w:keepNext/>
        <w:keepLines/>
        <w:ind w:left="720" w:hanging="720"/>
        <w:jc w:val="center"/>
        <w:rPr>
          <w:b/>
        </w:rPr>
      </w:pPr>
      <w:r w:rsidRPr="00C02017">
        <w:rPr>
          <w:b/>
        </w:rPr>
        <w:t>Credits to Consumers, by Supplier</w:t>
      </w:r>
    </w:p>
    <w:p w14:paraId="164B4587" w14:textId="77777777" w:rsidR="00526AC2" w:rsidRDefault="00526AC2" w:rsidP="00526AC2">
      <w:pPr>
        <w:keepNext/>
        <w:keepLines/>
        <w:ind w:left="720" w:hanging="720"/>
        <w:jc w:val="center"/>
        <w:rPr>
          <w:b/>
        </w:rPr>
      </w:pPr>
    </w:p>
    <w:tbl>
      <w:tblPr>
        <w:tblW w:w="10133" w:type="dxa"/>
        <w:jc w:val="center"/>
        <w:tblLook w:val="04A0" w:firstRow="1" w:lastRow="0" w:firstColumn="1" w:lastColumn="0" w:noHBand="0" w:noVBand="1"/>
      </w:tblPr>
      <w:tblGrid>
        <w:gridCol w:w="3260"/>
        <w:gridCol w:w="1304"/>
        <w:gridCol w:w="1060"/>
        <w:gridCol w:w="1349"/>
        <w:gridCol w:w="1600"/>
        <w:gridCol w:w="1560"/>
      </w:tblGrid>
      <w:tr w:rsidR="00F12305" w:rsidRPr="00F12305" w14:paraId="0F12E832" w14:textId="77777777" w:rsidTr="00F12305">
        <w:trPr>
          <w:trHeight w:val="1160"/>
          <w:jc w:val="center"/>
        </w:trPr>
        <w:tc>
          <w:tcPr>
            <w:tcW w:w="3260" w:type="dxa"/>
            <w:tcBorders>
              <w:top w:val="single" w:sz="8" w:space="0" w:color="auto"/>
              <w:left w:val="single" w:sz="8" w:space="0" w:color="auto"/>
              <w:bottom w:val="nil"/>
              <w:right w:val="single" w:sz="4" w:space="0" w:color="auto"/>
            </w:tcBorders>
            <w:shd w:val="clear" w:color="000000" w:fill="FFFFFF"/>
            <w:noWrap/>
            <w:vAlign w:val="center"/>
            <w:hideMark/>
          </w:tcPr>
          <w:p w14:paraId="60B70D14" w14:textId="77777777" w:rsidR="00F12305" w:rsidRPr="00F12305" w:rsidRDefault="00F12305" w:rsidP="00F12305">
            <w:pPr>
              <w:keepNext/>
              <w:keepLines/>
              <w:widowControl/>
              <w:autoSpaceDE/>
              <w:autoSpaceDN/>
              <w:adjustRightInd/>
              <w:jc w:val="center"/>
              <w:rPr>
                <w:b/>
                <w:bCs/>
                <w:sz w:val="22"/>
                <w:szCs w:val="22"/>
              </w:rPr>
            </w:pPr>
            <w:r w:rsidRPr="00F12305">
              <w:rPr>
                <w:b/>
                <w:bCs/>
                <w:sz w:val="22"/>
                <w:szCs w:val="22"/>
              </w:rPr>
              <w:t>Supplier</w:t>
            </w:r>
          </w:p>
        </w:tc>
        <w:tc>
          <w:tcPr>
            <w:tcW w:w="1304" w:type="dxa"/>
            <w:tcBorders>
              <w:top w:val="single" w:sz="8" w:space="0" w:color="auto"/>
              <w:left w:val="nil"/>
              <w:bottom w:val="nil"/>
              <w:right w:val="single" w:sz="4" w:space="0" w:color="auto"/>
            </w:tcBorders>
            <w:shd w:val="clear" w:color="000000" w:fill="FFFFFF"/>
            <w:vAlign w:val="center"/>
            <w:hideMark/>
          </w:tcPr>
          <w:p w14:paraId="697DAB94" w14:textId="77777777" w:rsidR="00F12305" w:rsidRPr="00F12305" w:rsidRDefault="00F12305" w:rsidP="00F12305">
            <w:pPr>
              <w:keepNext/>
              <w:keepLines/>
              <w:widowControl/>
              <w:autoSpaceDE/>
              <w:autoSpaceDN/>
              <w:adjustRightInd/>
              <w:jc w:val="center"/>
              <w:rPr>
                <w:b/>
                <w:bCs/>
                <w:sz w:val="22"/>
                <w:szCs w:val="22"/>
              </w:rPr>
            </w:pPr>
            <w:r w:rsidRPr="00F12305">
              <w:rPr>
                <w:b/>
                <w:bCs/>
                <w:sz w:val="22"/>
                <w:szCs w:val="22"/>
              </w:rPr>
              <w:t>Total Number of Complaints</w:t>
            </w:r>
          </w:p>
        </w:tc>
        <w:tc>
          <w:tcPr>
            <w:tcW w:w="1060" w:type="dxa"/>
            <w:tcBorders>
              <w:top w:val="single" w:sz="8" w:space="0" w:color="auto"/>
              <w:left w:val="nil"/>
              <w:bottom w:val="nil"/>
              <w:right w:val="single" w:sz="4" w:space="0" w:color="auto"/>
            </w:tcBorders>
            <w:shd w:val="clear" w:color="000000" w:fill="FFFFFF"/>
            <w:vAlign w:val="center"/>
            <w:hideMark/>
          </w:tcPr>
          <w:p w14:paraId="152C3B83" w14:textId="77777777" w:rsidR="00F12305" w:rsidRPr="00F12305" w:rsidRDefault="00F12305" w:rsidP="00F12305">
            <w:pPr>
              <w:keepNext/>
              <w:keepLines/>
              <w:widowControl/>
              <w:autoSpaceDE/>
              <w:autoSpaceDN/>
              <w:adjustRightInd/>
              <w:jc w:val="center"/>
              <w:rPr>
                <w:b/>
                <w:bCs/>
                <w:sz w:val="22"/>
                <w:szCs w:val="22"/>
              </w:rPr>
            </w:pPr>
            <w:r w:rsidRPr="00F12305">
              <w:rPr>
                <w:b/>
                <w:bCs/>
                <w:sz w:val="22"/>
                <w:szCs w:val="22"/>
              </w:rPr>
              <w:t>Quantity of Credits Given</w:t>
            </w:r>
          </w:p>
        </w:tc>
        <w:tc>
          <w:tcPr>
            <w:tcW w:w="1349" w:type="dxa"/>
            <w:tcBorders>
              <w:top w:val="single" w:sz="8" w:space="0" w:color="auto"/>
              <w:left w:val="nil"/>
              <w:bottom w:val="nil"/>
              <w:right w:val="single" w:sz="4" w:space="0" w:color="auto"/>
            </w:tcBorders>
            <w:shd w:val="clear" w:color="000000" w:fill="FFFFFF"/>
            <w:vAlign w:val="center"/>
            <w:hideMark/>
          </w:tcPr>
          <w:p w14:paraId="5CF3D5E6" w14:textId="77777777" w:rsidR="00F12305" w:rsidRPr="00F12305" w:rsidRDefault="00F12305" w:rsidP="00F12305">
            <w:pPr>
              <w:keepNext/>
              <w:keepLines/>
              <w:widowControl/>
              <w:autoSpaceDE/>
              <w:autoSpaceDN/>
              <w:adjustRightInd/>
              <w:jc w:val="center"/>
              <w:rPr>
                <w:b/>
                <w:bCs/>
                <w:sz w:val="22"/>
                <w:szCs w:val="22"/>
              </w:rPr>
            </w:pPr>
            <w:r w:rsidRPr="00F12305">
              <w:rPr>
                <w:b/>
                <w:bCs/>
                <w:sz w:val="22"/>
                <w:szCs w:val="22"/>
              </w:rPr>
              <w:t>% of Complaints Leading to Credits</w:t>
            </w:r>
          </w:p>
        </w:tc>
        <w:tc>
          <w:tcPr>
            <w:tcW w:w="1600" w:type="dxa"/>
            <w:tcBorders>
              <w:top w:val="single" w:sz="8" w:space="0" w:color="auto"/>
              <w:left w:val="nil"/>
              <w:bottom w:val="nil"/>
              <w:right w:val="single" w:sz="4" w:space="0" w:color="auto"/>
            </w:tcBorders>
            <w:shd w:val="clear" w:color="000000" w:fill="FFFFFF"/>
            <w:vAlign w:val="center"/>
            <w:hideMark/>
          </w:tcPr>
          <w:p w14:paraId="1161B312" w14:textId="77777777" w:rsidR="00F12305" w:rsidRPr="00F12305" w:rsidRDefault="00F12305" w:rsidP="00F12305">
            <w:pPr>
              <w:keepNext/>
              <w:keepLines/>
              <w:widowControl/>
              <w:autoSpaceDE/>
              <w:autoSpaceDN/>
              <w:adjustRightInd/>
              <w:jc w:val="center"/>
              <w:rPr>
                <w:b/>
                <w:bCs/>
                <w:sz w:val="22"/>
                <w:szCs w:val="22"/>
              </w:rPr>
            </w:pPr>
            <w:r w:rsidRPr="00F12305">
              <w:rPr>
                <w:b/>
                <w:bCs/>
                <w:sz w:val="22"/>
                <w:szCs w:val="22"/>
              </w:rPr>
              <w:t>Total $ of Credits Given</w:t>
            </w:r>
          </w:p>
        </w:tc>
        <w:tc>
          <w:tcPr>
            <w:tcW w:w="1560" w:type="dxa"/>
            <w:tcBorders>
              <w:top w:val="single" w:sz="8" w:space="0" w:color="auto"/>
              <w:left w:val="nil"/>
              <w:bottom w:val="nil"/>
              <w:right w:val="single" w:sz="8" w:space="0" w:color="auto"/>
            </w:tcBorders>
            <w:shd w:val="clear" w:color="000000" w:fill="FFFFFF"/>
            <w:vAlign w:val="center"/>
            <w:hideMark/>
          </w:tcPr>
          <w:p w14:paraId="6C1F7D32" w14:textId="77777777" w:rsidR="00F12305" w:rsidRPr="00F12305" w:rsidRDefault="00F12305" w:rsidP="00F12305">
            <w:pPr>
              <w:keepNext/>
              <w:keepLines/>
              <w:widowControl/>
              <w:autoSpaceDE/>
              <w:autoSpaceDN/>
              <w:adjustRightInd/>
              <w:jc w:val="center"/>
              <w:rPr>
                <w:b/>
                <w:bCs/>
                <w:sz w:val="22"/>
                <w:szCs w:val="22"/>
              </w:rPr>
            </w:pPr>
            <w:r w:rsidRPr="00F12305">
              <w:rPr>
                <w:b/>
                <w:bCs/>
                <w:sz w:val="22"/>
                <w:szCs w:val="22"/>
              </w:rPr>
              <w:t>Average $ Credit per Credit Given</w:t>
            </w:r>
          </w:p>
        </w:tc>
      </w:tr>
      <w:tr w:rsidR="00F12305" w:rsidRPr="00F12305" w14:paraId="5A70E4DE" w14:textId="77777777" w:rsidTr="00F12305">
        <w:trPr>
          <w:trHeight w:val="340"/>
          <w:jc w:val="center"/>
        </w:trPr>
        <w:tc>
          <w:tcPr>
            <w:tcW w:w="3260" w:type="dxa"/>
            <w:tcBorders>
              <w:top w:val="single" w:sz="8" w:space="0" w:color="auto"/>
              <w:left w:val="single" w:sz="8" w:space="0" w:color="auto"/>
              <w:bottom w:val="nil"/>
              <w:right w:val="nil"/>
            </w:tcBorders>
            <w:shd w:val="clear" w:color="000000" w:fill="D9D9D9"/>
            <w:noWrap/>
            <w:vAlign w:val="center"/>
            <w:hideMark/>
          </w:tcPr>
          <w:p w14:paraId="6362718C"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North American Power &amp; Gas</w:t>
            </w:r>
          </w:p>
        </w:tc>
        <w:tc>
          <w:tcPr>
            <w:tcW w:w="1304" w:type="dxa"/>
            <w:tcBorders>
              <w:top w:val="single" w:sz="8" w:space="0" w:color="auto"/>
              <w:left w:val="single" w:sz="4" w:space="0" w:color="auto"/>
              <w:bottom w:val="nil"/>
              <w:right w:val="single" w:sz="4" w:space="0" w:color="auto"/>
            </w:tcBorders>
            <w:shd w:val="clear" w:color="000000" w:fill="D9D9D9"/>
            <w:noWrap/>
            <w:vAlign w:val="center"/>
            <w:hideMark/>
          </w:tcPr>
          <w:p w14:paraId="52AAE837"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79</w:t>
            </w:r>
          </w:p>
        </w:tc>
        <w:tc>
          <w:tcPr>
            <w:tcW w:w="1060" w:type="dxa"/>
            <w:tcBorders>
              <w:top w:val="single" w:sz="8" w:space="0" w:color="auto"/>
              <w:left w:val="nil"/>
              <w:bottom w:val="nil"/>
              <w:right w:val="single" w:sz="4" w:space="0" w:color="auto"/>
            </w:tcBorders>
            <w:shd w:val="clear" w:color="000000" w:fill="D9D9D9"/>
            <w:noWrap/>
            <w:vAlign w:val="center"/>
            <w:hideMark/>
          </w:tcPr>
          <w:p w14:paraId="019B7674"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56</w:t>
            </w:r>
          </w:p>
        </w:tc>
        <w:tc>
          <w:tcPr>
            <w:tcW w:w="1349" w:type="dxa"/>
            <w:tcBorders>
              <w:top w:val="single" w:sz="8" w:space="0" w:color="auto"/>
              <w:left w:val="nil"/>
              <w:bottom w:val="nil"/>
              <w:right w:val="single" w:sz="4" w:space="0" w:color="auto"/>
            </w:tcBorders>
            <w:shd w:val="clear" w:color="000000" w:fill="D9D9D9"/>
            <w:noWrap/>
            <w:vAlign w:val="center"/>
            <w:hideMark/>
          </w:tcPr>
          <w:p w14:paraId="441BE5E8"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71%</w:t>
            </w:r>
          </w:p>
        </w:tc>
        <w:tc>
          <w:tcPr>
            <w:tcW w:w="1600" w:type="dxa"/>
            <w:tcBorders>
              <w:top w:val="single" w:sz="8" w:space="0" w:color="auto"/>
              <w:left w:val="nil"/>
              <w:bottom w:val="nil"/>
              <w:right w:val="single" w:sz="4" w:space="0" w:color="auto"/>
            </w:tcBorders>
            <w:shd w:val="clear" w:color="000000" w:fill="D9D9D9"/>
            <w:noWrap/>
            <w:vAlign w:val="center"/>
            <w:hideMark/>
          </w:tcPr>
          <w:p w14:paraId="7D4FBDBC"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$6,680.81 </w:t>
            </w:r>
          </w:p>
        </w:tc>
        <w:tc>
          <w:tcPr>
            <w:tcW w:w="1560" w:type="dxa"/>
            <w:tcBorders>
              <w:top w:val="single" w:sz="8" w:space="0" w:color="auto"/>
              <w:left w:val="nil"/>
              <w:bottom w:val="nil"/>
              <w:right w:val="single" w:sz="8" w:space="0" w:color="auto"/>
            </w:tcBorders>
            <w:shd w:val="clear" w:color="000000" w:fill="D9D9D9"/>
            <w:noWrap/>
            <w:vAlign w:val="center"/>
            <w:hideMark/>
          </w:tcPr>
          <w:p w14:paraId="772ED366"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$119.30 </w:t>
            </w:r>
          </w:p>
        </w:tc>
      </w:tr>
      <w:tr w:rsidR="00F12305" w:rsidRPr="00F12305" w14:paraId="3C1E54AA"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3808F962"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Community</w:t>
            </w:r>
          </w:p>
        </w:tc>
        <w:tc>
          <w:tcPr>
            <w:tcW w:w="1304" w:type="dxa"/>
            <w:tcBorders>
              <w:top w:val="nil"/>
              <w:left w:val="single" w:sz="4" w:space="0" w:color="auto"/>
              <w:bottom w:val="nil"/>
              <w:right w:val="single" w:sz="4" w:space="0" w:color="auto"/>
            </w:tcBorders>
            <w:shd w:val="clear" w:color="auto" w:fill="auto"/>
            <w:noWrap/>
            <w:vAlign w:val="center"/>
            <w:hideMark/>
          </w:tcPr>
          <w:p w14:paraId="4B53EB2F"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5</w:t>
            </w:r>
          </w:p>
        </w:tc>
        <w:tc>
          <w:tcPr>
            <w:tcW w:w="1060" w:type="dxa"/>
            <w:tcBorders>
              <w:top w:val="nil"/>
              <w:left w:val="nil"/>
              <w:bottom w:val="nil"/>
              <w:right w:val="single" w:sz="4" w:space="0" w:color="auto"/>
            </w:tcBorders>
            <w:shd w:val="clear" w:color="auto" w:fill="auto"/>
            <w:noWrap/>
            <w:vAlign w:val="center"/>
            <w:hideMark/>
          </w:tcPr>
          <w:p w14:paraId="6D7247F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3</w:t>
            </w:r>
          </w:p>
        </w:tc>
        <w:tc>
          <w:tcPr>
            <w:tcW w:w="1349" w:type="dxa"/>
            <w:tcBorders>
              <w:top w:val="nil"/>
              <w:left w:val="nil"/>
              <w:bottom w:val="nil"/>
              <w:right w:val="single" w:sz="4" w:space="0" w:color="auto"/>
            </w:tcBorders>
            <w:shd w:val="clear" w:color="auto" w:fill="auto"/>
            <w:noWrap/>
            <w:vAlign w:val="center"/>
            <w:hideMark/>
          </w:tcPr>
          <w:p w14:paraId="543F72B2"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60%</w:t>
            </w:r>
          </w:p>
        </w:tc>
        <w:tc>
          <w:tcPr>
            <w:tcW w:w="1600" w:type="dxa"/>
            <w:tcBorders>
              <w:top w:val="nil"/>
              <w:left w:val="nil"/>
              <w:bottom w:val="nil"/>
              <w:right w:val="single" w:sz="4" w:space="0" w:color="auto"/>
            </w:tcBorders>
            <w:shd w:val="clear" w:color="auto" w:fill="auto"/>
            <w:noWrap/>
            <w:vAlign w:val="center"/>
            <w:hideMark/>
          </w:tcPr>
          <w:p w14:paraId="211FF7B3"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$729.51 </w:t>
            </w:r>
          </w:p>
        </w:tc>
        <w:tc>
          <w:tcPr>
            <w:tcW w:w="1560" w:type="dxa"/>
            <w:tcBorders>
              <w:top w:val="nil"/>
              <w:left w:val="nil"/>
              <w:bottom w:val="nil"/>
              <w:right w:val="single" w:sz="8" w:space="0" w:color="auto"/>
            </w:tcBorders>
            <w:shd w:val="clear" w:color="auto" w:fill="auto"/>
            <w:noWrap/>
            <w:vAlign w:val="center"/>
            <w:hideMark/>
          </w:tcPr>
          <w:p w14:paraId="626E4A1E"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$243.17 </w:t>
            </w:r>
          </w:p>
        </w:tc>
      </w:tr>
      <w:tr w:rsidR="00F12305" w:rsidRPr="00F12305" w14:paraId="39DBE0AC"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72A2C995"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Con Edison Solutions</w:t>
            </w:r>
          </w:p>
        </w:tc>
        <w:tc>
          <w:tcPr>
            <w:tcW w:w="1304" w:type="dxa"/>
            <w:tcBorders>
              <w:top w:val="nil"/>
              <w:left w:val="single" w:sz="4" w:space="0" w:color="auto"/>
              <w:bottom w:val="nil"/>
              <w:right w:val="single" w:sz="4" w:space="0" w:color="auto"/>
            </w:tcBorders>
            <w:shd w:val="clear" w:color="000000" w:fill="D9D9D9"/>
            <w:noWrap/>
            <w:vAlign w:val="center"/>
            <w:hideMark/>
          </w:tcPr>
          <w:p w14:paraId="6A1C5270"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4</w:t>
            </w:r>
          </w:p>
        </w:tc>
        <w:tc>
          <w:tcPr>
            <w:tcW w:w="1060" w:type="dxa"/>
            <w:tcBorders>
              <w:top w:val="nil"/>
              <w:left w:val="nil"/>
              <w:bottom w:val="nil"/>
              <w:right w:val="single" w:sz="4" w:space="0" w:color="auto"/>
            </w:tcBorders>
            <w:shd w:val="clear" w:color="000000" w:fill="D9D9D9"/>
            <w:noWrap/>
            <w:vAlign w:val="center"/>
            <w:hideMark/>
          </w:tcPr>
          <w:p w14:paraId="5B936F86"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w:t>
            </w:r>
          </w:p>
        </w:tc>
        <w:tc>
          <w:tcPr>
            <w:tcW w:w="1349" w:type="dxa"/>
            <w:tcBorders>
              <w:top w:val="nil"/>
              <w:left w:val="nil"/>
              <w:bottom w:val="nil"/>
              <w:right w:val="single" w:sz="4" w:space="0" w:color="auto"/>
            </w:tcBorders>
            <w:shd w:val="clear" w:color="000000" w:fill="D9D9D9"/>
            <w:noWrap/>
            <w:vAlign w:val="center"/>
            <w:hideMark/>
          </w:tcPr>
          <w:p w14:paraId="422A438B" w14:textId="77777777" w:rsidR="00F12305" w:rsidRPr="00F12305" w:rsidRDefault="00F12305" w:rsidP="00F12305">
            <w:pPr>
              <w:keepNext/>
              <w:keepLines/>
              <w:widowControl/>
              <w:autoSpaceDE/>
              <w:autoSpaceDN/>
              <w:adjustRightInd/>
              <w:ind w:firstLine="642"/>
              <w:rPr>
                <w:color w:val="000000"/>
                <w:sz w:val="22"/>
                <w:szCs w:val="22"/>
              </w:rPr>
            </w:pPr>
            <w:r w:rsidRPr="00F12305">
              <w:rPr>
                <w:color w:val="000000"/>
                <w:sz w:val="22"/>
                <w:szCs w:val="22"/>
              </w:rPr>
              <w:t>50%</w:t>
            </w:r>
          </w:p>
        </w:tc>
        <w:tc>
          <w:tcPr>
            <w:tcW w:w="1600" w:type="dxa"/>
            <w:tcBorders>
              <w:top w:val="nil"/>
              <w:left w:val="nil"/>
              <w:bottom w:val="nil"/>
              <w:right w:val="single" w:sz="4" w:space="0" w:color="auto"/>
            </w:tcBorders>
            <w:shd w:val="clear" w:color="000000" w:fill="D9D9D9"/>
            <w:noWrap/>
            <w:vAlign w:val="center"/>
            <w:hideMark/>
          </w:tcPr>
          <w:p w14:paraId="6A6DF97F"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$27.66 </w:t>
            </w:r>
          </w:p>
        </w:tc>
        <w:tc>
          <w:tcPr>
            <w:tcW w:w="1560" w:type="dxa"/>
            <w:tcBorders>
              <w:top w:val="nil"/>
              <w:left w:val="nil"/>
              <w:bottom w:val="nil"/>
              <w:right w:val="single" w:sz="8" w:space="0" w:color="auto"/>
            </w:tcBorders>
            <w:shd w:val="clear" w:color="000000" w:fill="D9D9D9"/>
            <w:noWrap/>
            <w:vAlign w:val="center"/>
            <w:hideMark/>
          </w:tcPr>
          <w:p w14:paraId="18095A5A"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$13.83 </w:t>
            </w:r>
          </w:p>
        </w:tc>
      </w:tr>
      <w:tr w:rsidR="00F12305" w:rsidRPr="00F12305" w14:paraId="26D23672"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4347063E"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Spark</w:t>
            </w:r>
          </w:p>
        </w:tc>
        <w:tc>
          <w:tcPr>
            <w:tcW w:w="1304" w:type="dxa"/>
            <w:tcBorders>
              <w:top w:val="nil"/>
              <w:left w:val="single" w:sz="4" w:space="0" w:color="auto"/>
              <w:bottom w:val="nil"/>
              <w:right w:val="single" w:sz="4" w:space="0" w:color="auto"/>
            </w:tcBorders>
            <w:shd w:val="clear" w:color="auto" w:fill="auto"/>
            <w:noWrap/>
            <w:vAlign w:val="center"/>
            <w:hideMark/>
          </w:tcPr>
          <w:p w14:paraId="16C7579C"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w:t>
            </w:r>
          </w:p>
        </w:tc>
        <w:tc>
          <w:tcPr>
            <w:tcW w:w="1060" w:type="dxa"/>
            <w:tcBorders>
              <w:top w:val="nil"/>
              <w:left w:val="nil"/>
              <w:bottom w:val="nil"/>
              <w:right w:val="single" w:sz="4" w:space="0" w:color="auto"/>
            </w:tcBorders>
            <w:shd w:val="clear" w:color="auto" w:fill="auto"/>
            <w:noWrap/>
            <w:vAlign w:val="center"/>
            <w:hideMark/>
          </w:tcPr>
          <w:p w14:paraId="7878C267"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w:t>
            </w:r>
          </w:p>
        </w:tc>
        <w:tc>
          <w:tcPr>
            <w:tcW w:w="1349" w:type="dxa"/>
            <w:tcBorders>
              <w:top w:val="nil"/>
              <w:left w:val="nil"/>
              <w:bottom w:val="nil"/>
              <w:right w:val="single" w:sz="4" w:space="0" w:color="auto"/>
            </w:tcBorders>
            <w:shd w:val="clear" w:color="auto" w:fill="auto"/>
            <w:noWrap/>
            <w:vAlign w:val="center"/>
            <w:hideMark/>
          </w:tcPr>
          <w:p w14:paraId="4BC6D53D"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50%</w:t>
            </w:r>
          </w:p>
        </w:tc>
        <w:tc>
          <w:tcPr>
            <w:tcW w:w="1600" w:type="dxa"/>
            <w:tcBorders>
              <w:top w:val="nil"/>
              <w:left w:val="nil"/>
              <w:bottom w:val="nil"/>
              <w:right w:val="single" w:sz="4" w:space="0" w:color="auto"/>
            </w:tcBorders>
            <w:shd w:val="clear" w:color="auto" w:fill="auto"/>
            <w:noWrap/>
            <w:vAlign w:val="center"/>
            <w:hideMark/>
          </w:tcPr>
          <w:p w14:paraId="25EF6DB0"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$51.49 </w:t>
            </w:r>
          </w:p>
        </w:tc>
        <w:tc>
          <w:tcPr>
            <w:tcW w:w="1560" w:type="dxa"/>
            <w:tcBorders>
              <w:top w:val="nil"/>
              <w:left w:val="nil"/>
              <w:bottom w:val="nil"/>
              <w:right w:val="single" w:sz="8" w:space="0" w:color="auto"/>
            </w:tcBorders>
            <w:shd w:val="clear" w:color="auto" w:fill="auto"/>
            <w:noWrap/>
            <w:vAlign w:val="center"/>
            <w:hideMark/>
          </w:tcPr>
          <w:p w14:paraId="6D4FBB52"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$51.49 </w:t>
            </w:r>
          </w:p>
        </w:tc>
      </w:tr>
      <w:tr w:rsidR="00F12305" w:rsidRPr="00F12305" w14:paraId="18C7E4E2"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697F7E6A"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CT Gas &amp; Electric</w:t>
            </w:r>
          </w:p>
        </w:tc>
        <w:tc>
          <w:tcPr>
            <w:tcW w:w="1304" w:type="dxa"/>
            <w:tcBorders>
              <w:top w:val="nil"/>
              <w:left w:val="single" w:sz="4" w:space="0" w:color="auto"/>
              <w:bottom w:val="nil"/>
              <w:right w:val="single" w:sz="4" w:space="0" w:color="auto"/>
            </w:tcBorders>
            <w:shd w:val="clear" w:color="000000" w:fill="D9D9D9"/>
            <w:noWrap/>
            <w:vAlign w:val="center"/>
            <w:hideMark/>
          </w:tcPr>
          <w:p w14:paraId="5B21A1E4"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26</w:t>
            </w:r>
          </w:p>
        </w:tc>
        <w:tc>
          <w:tcPr>
            <w:tcW w:w="1060" w:type="dxa"/>
            <w:tcBorders>
              <w:top w:val="nil"/>
              <w:left w:val="nil"/>
              <w:bottom w:val="nil"/>
              <w:right w:val="single" w:sz="4" w:space="0" w:color="auto"/>
            </w:tcBorders>
            <w:shd w:val="clear" w:color="000000" w:fill="D9D9D9"/>
            <w:noWrap/>
            <w:vAlign w:val="center"/>
            <w:hideMark/>
          </w:tcPr>
          <w:p w14:paraId="344C8B8F"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12</w:t>
            </w:r>
          </w:p>
        </w:tc>
        <w:tc>
          <w:tcPr>
            <w:tcW w:w="1349" w:type="dxa"/>
            <w:tcBorders>
              <w:top w:val="nil"/>
              <w:left w:val="nil"/>
              <w:bottom w:val="nil"/>
              <w:right w:val="single" w:sz="4" w:space="0" w:color="auto"/>
            </w:tcBorders>
            <w:shd w:val="clear" w:color="000000" w:fill="D9D9D9"/>
            <w:noWrap/>
            <w:vAlign w:val="center"/>
            <w:hideMark/>
          </w:tcPr>
          <w:p w14:paraId="7792BDB8"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46%</w:t>
            </w:r>
          </w:p>
        </w:tc>
        <w:tc>
          <w:tcPr>
            <w:tcW w:w="1600" w:type="dxa"/>
            <w:tcBorders>
              <w:top w:val="nil"/>
              <w:left w:val="nil"/>
              <w:bottom w:val="nil"/>
              <w:right w:val="single" w:sz="4" w:space="0" w:color="auto"/>
            </w:tcBorders>
            <w:shd w:val="clear" w:color="000000" w:fill="D9D9D9"/>
            <w:noWrap/>
            <w:vAlign w:val="center"/>
            <w:hideMark/>
          </w:tcPr>
          <w:p w14:paraId="538534B4"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$3,011.84 </w:t>
            </w:r>
          </w:p>
        </w:tc>
        <w:tc>
          <w:tcPr>
            <w:tcW w:w="1560" w:type="dxa"/>
            <w:tcBorders>
              <w:top w:val="nil"/>
              <w:left w:val="nil"/>
              <w:bottom w:val="nil"/>
              <w:right w:val="single" w:sz="8" w:space="0" w:color="auto"/>
            </w:tcBorders>
            <w:shd w:val="clear" w:color="000000" w:fill="D9D9D9"/>
            <w:noWrap/>
            <w:vAlign w:val="center"/>
            <w:hideMark/>
          </w:tcPr>
          <w:p w14:paraId="3843B6C8"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$250.99 </w:t>
            </w:r>
          </w:p>
        </w:tc>
      </w:tr>
      <w:tr w:rsidR="00F12305" w:rsidRPr="00F12305" w14:paraId="3990713E"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47A47DDB"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Starion</w:t>
            </w:r>
          </w:p>
        </w:tc>
        <w:tc>
          <w:tcPr>
            <w:tcW w:w="1304" w:type="dxa"/>
            <w:tcBorders>
              <w:top w:val="nil"/>
              <w:left w:val="single" w:sz="4" w:space="0" w:color="auto"/>
              <w:bottom w:val="nil"/>
              <w:right w:val="single" w:sz="4" w:space="0" w:color="auto"/>
            </w:tcBorders>
            <w:shd w:val="clear" w:color="auto" w:fill="auto"/>
            <w:noWrap/>
            <w:vAlign w:val="center"/>
            <w:hideMark/>
          </w:tcPr>
          <w:p w14:paraId="0C7D068A"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190</w:t>
            </w:r>
          </w:p>
        </w:tc>
        <w:tc>
          <w:tcPr>
            <w:tcW w:w="1060" w:type="dxa"/>
            <w:tcBorders>
              <w:top w:val="nil"/>
              <w:left w:val="nil"/>
              <w:bottom w:val="nil"/>
              <w:right w:val="single" w:sz="4" w:space="0" w:color="auto"/>
            </w:tcBorders>
            <w:shd w:val="clear" w:color="auto" w:fill="auto"/>
            <w:noWrap/>
            <w:vAlign w:val="center"/>
            <w:hideMark/>
          </w:tcPr>
          <w:p w14:paraId="337096A7"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67</w:t>
            </w:r>
          </w:p>
        </w:tc>
        <w:tc>
          <w:tcPr>
            <w:tcW w:w="1349" w:type="dxa"/>
            <w:tcBorders>
              <w:top w:val="nil"/>
              <w:left w:val="nil"/>
              <w:bottom w:val="nil"/>
              <w:right w:val="single" w:sz="4" w:space="0" w:color="auto"/>
            </w:tcBorders>
            <w:shd w:val="clear" w:color="auto" w:fill="auto"/>
            <w:noWrap/>
            <w:vAlign w:val="center"/>
            <w:hideMark/>
          </w:tcPr>
          <w:p w14:paraId="01505931"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35%</w:t>
            </w:r>
          </w:p>
        </w:tc>
        <w:tc>
          <w:tcPr>
            <w:tcW w:w="1600" w:type="dxa"/>
            <w:tcBorders>
              <w:top w:val="nil"/>
              <w:left w:val="nil"/>
              <w:bottom w:val="nil"/>
              <w:right w:val="single" w:sz="4" w:space="0" w:color="auto"/>
            </w:tcBorders>
            <w:shd w:val="clear" w:color="auto" w:fill="auto"/>
            <w:noWrap/>
            <w:vAlign w:val="center"/>
            <w:hideMark/>
          </w:tcPr>
          <w:p w14:paraId="027A5C16"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$10,685.69 </w:t>
            </w:r>
          </w:p>
        </w:tc>
        <w:tc>
          <w:tcPr>
            <w:tcW w:w="1560" w:type="dxa"/>
            <w:tcBorders>
              <w:top w:val="nil"/>
              <w:left w:val="nil"/>
              <w:bottom w:val="nil"/>
              <w:right w:val="single" w:sz="8" w:space="0" w:color="auto"/>
            </w:tcBorders>
            <w:shd w:val="clear" w:color="auto" w:fill="auto"/>
            <w:noWrap/>
            <w:vAlign w:val="center"/>
            <w:hideMark/>
          </w:tcPr>
          <w:p w14:paraId="2B2B5CB6"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$159.49 </w:t>
            </w:r>
          </w:p>
        </w:tc>
      </w:tr>
      <w:tr w:rsidR="00F12305" w:rsidRPr="00F12305" w14:paraId="35BA5531"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75552EC6"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Palmco Power</w:t>
            </w:r>
          </w:p>
        </w:tc>
        <w:tc>
          <w:tcPr>
            <w:tcW w:w="1304" w:type="dxa"/>
            <w:tcBorders>
              <w:top w:val="nil"/>
              <w:left w:val="single" w:sz="4" w:space="0" w:color="auto"/>
              <w:bottom w:val="nil"/>
              <w:right w:val="single" w:sz="4" w:space="0" w:color="auto"/>
            </w:tcBorders>
            <w:shd w:val="clear" w:color="000000" w:fill="D9D9D9"/>
            <w:noWrap/>
            <w:vAlign w:val="center"/>
            <w:hideMark/>
          </w:tcPr>
          <w:p w14:paraId="5FF062F4"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21</w:t>
            </w:r>
          </w:p>
        </w:tc>
        <w:tc>
          <w:tcPr>
            <w:tcW w:w="1060" w:type="dxa"/>
            <w:tcBorders>
              <w:top w:val="nil"/>
              <w:left w:val="nil"/>
              <w:bottom w:val="nil"/>
              <w:right w:val="single" w:sz="4" w:space="0" w:color="auto"/>
            </w:tcBorders>
            <w:shd w:val="clear" w:color="000000" w:fill="D9D9D9"/>
            <w:noWrap/>
            <w:vAlign w:val="center"/>
            <w:hideMark/>
          </w:tcPr>
          <w:p w14:paraId="241122C1"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7</w:t>
            </w:r>
          </w:p>
        </w:tc>
        <w:tc>
          <w:tcPr>
            <w:tcW w:w="1349" w:type="dxa"/>
            <w:tcBorders>
              <w:top w:val="nil"/>
              <w:left w:val="nil"/>
              <w:bottom w:val="nil"/>
              <w:right w:val="single" w:sz="4" w:space="0" w:color="auto"/>
            </w:tcBorders>
            <w:shd w:val="clear" w:color="000000" w:fill="D9D9D9"/>
            <w:noWrap/>
            <w:vAlign w:val="center"/>
            <w:hideMark/>
          </w:tcPr>
          <w:p w14:paraId="406F001C"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33%</w:t>
            </w:r>
          </w:p>
        </w:tc>
        <w:tc>
          <w:tcPr>
            <w:tcW w:w="1600" w:type="dxa"/>
            <w:tcBorders>
              <w:top w:val="nil"/>
              <w:left w:val="nil"/>
              <w:bottom w:val="nil"/>
              <w:right w:val="single" w:sz="4" w:space="0" w:color="auto"/>
            </w:tcBorders>
            <w:shd w:val="clear" w:color="000000" w:fill="D9D9D9"/>
            <w:noWrap/>
            <w:vAlign w:val="center"/>
            <w:hideMark/>
          </w:tcPr>
          <w:p w14:paraId="7D63FC46"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$1,348.99 </w:t>
            </w:r>
          </w:p>
        </w:tc>
        <w:tc>
          <w:tcPr>
            <w:tcW w:w="1560" w:type="dxa"/>
            <w:tcBorders>
              <w:top w:val="nil"/>
              <w:left w:val="nil"/>
              <w:bottom w:val="nil"/>
              <w:right w:val="single" w:sz="8" w:space="0" w:color="auto"/>
            </w:tcBorders>
            <w:shd w:val="clear" w:color="000000" w:fill="D9D9D9"/>
            <w:noWrap/>
            <w:vAlign w:val="center"/>
            <w:hideMark/>
          </w:tcPr>
          <w:p w14:paraId="7FD1FBEB"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$192.71 </w:t>
            </w:r>
          </w:p>
        </w:tc>
      </w:tr>
      <w:tr w:rsidR="00F12305" w:rsidRPr="00F12305" w14:paraId="1141FE9D"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48630527"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Choice</w:t>
            </w:r>
          </w:p>
        </w:tc>
        <w:tc>
          <w:tcPr>
            <w:tcW w:w="1304" w:type="dxa"/>
            <w:tcBorders>
              <w:top w:val="nil"/>
              <w:left w:val="single" w:sz="4" w:space="0" w:color="auto"/>
              <w:bottom w:val="nil"/>
              <w:right w:val="single" w:sz="4" w:space="0" w:color="auto"/>
            </w:tcBorders>
            <w:shd w:val="clear" w:color="auto" w:fill="auto"/>
            <w:noWrap/>
            <w:vAlign w:val="center"/>
            <w:hideMark/>
          </w:tcPr>
          <w:p w14:paraId="19C98688"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34</w:t>
            </w:r>
          </w:p>
        </w:tc>
        <w:tc>
          <w:tcPr>
            <w:tcW w:w="1060" w:type="dxa"/>
            <w:tcBorders>
              <w:top w:val="nil"/>
              <w:left w:val="nil"/>
              <w:bottom w:val="nil"/>
              <w:right w:val="single" w:sz="4" w:space="0" w:color="auto"/>
            </w:tcBorders>
            <w:shd w:val="clear" w:color="auto" w:fill="auto"/>
            <w:noWrap/>
            <w:vAlign w:val="center"/>
            <w:hideMark/>
          </w:tcPr>
          <w:p w14:paraId="633ACF51"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10</w:t>
            </w:r>
          </w:p>
        </w:tc>
        <w:tc>
          <w:tcPr>
            <w:tcW w:w="1349" w:type="dxa"/>
            <w:tcBorders>
              <w:top w:val="nil"/>
              <w:left w:val="nil"/>
              <w:bottom w:val="nil"/>
              <w:right w:val="single" w:sz="4" w:space="0" w:color="auto"/>
            </w:tcBorders>
            <w:shd w:val="clear" w:color="auto" w:fill="auto"/>
            <w:noWrap/>
            <w:vAlign w:val="center"/>
            <w:hideMark/>
          </w:tcPr>
          <w:p w14:paraId="6230544E"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29%</w:t>
            </w:r>
          </w:p>
        </w:tc>
        <w:tc>
          <w:tcPr>
            <w:tcW w:w="1600" w:type="dxa"/>
            <w:tcBorders>
              <w:top w:val="nil"/>
              <w:left w:val="nil"/>
              <w:bottom w:val="nil"/>
              <w:right w:val="single" w:sz="4" w:space="0" w:color="auto"/>
            </w:tcBorders>
            <w:shd w:val="clear" w:color="auto" w:fill="auto"/>
            <w:noWrap/>
            <w:vAlign w:val="center"/>
            <w:hideMark/>
          </w:tcPr>
          <w:p w14:paraId="731F142B"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$963.73 </w:t>
            </w:r>
          </w:p>
        </w:tc>
        <w:tc>
          <w:tcPr>
            <w:tcW w:w="1560" w:type="dxa"/>
            <w:tcBorders>
              <w:top w:val="nil"/>
              <w:left w:val="nil"/>
              <w:bottom w:val="nil"/>
              <w:right w:val="single" w:sz="8" w:space="0" w:color="auto"/>
            </w:tcBorders>
            <w:shd w:val="clear" w:color="auto" w:fill="auto"/>
            <w:noWrap/>
            <w:vAlign w:val="center"/>
            <w:hideMark/>
          </w:tcPr>
          <w:p w14:paraId="0A559BAD"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$96.37 </w:t>
            </w:r>
          </w:p>
        </w:tc>
      </w:tr>
      <w:tr w:rsidR="00F12305" w:rsidRPr="00F12305" w14:paraId="5077A26B"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2BD17A71"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Viridian</w:t>
            </w:r>
          </w:p>
        </w:tc>
        <w:tc>
          <w:tcPr>
            <w:tcW w:w="1304" w:type="dxa"/>
            <w:tcBorders>
              <w:top w:val="nil"/>
              <w:left w:val="single" w:sz="4" w:space="0" w:color="auto"/>
              <w:bottom w:val="nil"/>
              <w:right w:val="single" w:sz="4" w:space="0" w:color="auto"/>
            </w:tcBorders>
            <w:shd w:val="clear" w:color="000000" w:fill="D9D9D9"/>
            <w:noWrap/>
            <w:vAlign w:val="center"/>
            <w:hideMark/>
          </w:tcPr>
          <w:p w14:paraId="1E531DBD"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28</w:t>
            </w:r>
          </w:p>
        </w:tc>
        <w:tc>
          <w:tcPr>
            <w:tcW w:w="1060" w:type="dxa"/>
            <w:tcBorders>
              <w:top w:val="nil"/>
              <w:left w:val="nil"/>
              <w:bottom w:val="nil"/>
              <w:right w:val="single" w:sz="4" w:space="0" w:color="auto"/>
            </w:tcBorders>
            <w:shd w:val="clear" w:color="000000" w:fill="D9D9D9"/>
            <w:noWrap/>
            <w:vAlign w:val="center"/>
            <w:hideMark/>
          </w:tcPr>
          <w:p w14:paraId="75A8A99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7</w:t>
            </w:r>
          </w:p>
        </w:tc>
        <w:tc>
          <w:tcPr>
            <w:tcW w:w="1349" w:type="dxa"/>
            <w:tcBorders>
              <w:top w:val="nil"/>
              <w:left w:val="nil"/>
              <w:bottom w:val="nil"/>
              <w:right w:val="single" w:sz="4" w:space="0" w:color="auto"/>
            </w:tcBorders>
            <w:shd w:val="clear" w:color="000000" w:fill="D9D9D9"/>
            <w:noWrap/>
            <w:vAlign w:val="center"/>
            <w:hideMark/>
          </w:tcPr>
          <w:p w14:paraId="627EB5BC"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25%</w:t>
            </w:r>
          </w:p>
        </w:tc>
        <w:tc>
          <w:tcPr>
            <w:tcW w:w="1600" w:type="dxa"/>
            <w:tcBorders>
              <w:top w:val="nil"/>
              <w:left w:val="nil"/>
              <w:bottom w:val="nil"/>
              <w:right w:val="single" w:sz="4" w:space="0" w:color="auto"/>
            </w:tcBorders>
            <w:shd w:val="clear" w:color="000000" w:fill="D9D9D9"/>
            <w:noWrap/>
            <w:vAlign w:val="center"/>
            <w:hideMark/>
          </w:tcPr>
          <w:p w14:paraId="320EC9D6"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$684.21 </w:t>
            </w:r>
          </w:p>
        </w:tc>
        <w:tc>
          <w:tcPr>
            <w:tcW w:w="1560" w:type="dxa"/>
            <w:tcBorders>
              <w:top w:val="nil"/>
              <w:left w:val="nil"/>
              <w:bottom w:val="nil"/>
              <w:right w:val="single" w:sz="8" w:space="0" w:color="auto"/>
            </w:tcBorders>
            <w:shd w:val="clear" w:color="000000" w:fill="D9D9D9"/>
            <w:noWrap/>
            <w:vAlign w:val="center"/>
            <w:hideMark/>
          </w:tcPr>
          <w:p w14:paraId="7C61D6BA"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$97.74 </w:t>
            </w:r>
          </w:p>
        </w:tc>
      </w:tr>
      <w:tr w:rsidR="00F12305" w:rsidRPr="00F12305" w14:paraId="1F50DA0A"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189EBEA9"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XOOM Energy</w:t>
            </w:r>
          </w:p>
        </w:tc>
        <w:tc>
          <w:tcPr>
            <w:tcW w:w="1304" w:type="dxa"/>
            <w:tcBorders>
              <w:top w:val="nil"/>
              <w:left w:val="single" w:sz="4" w:space="0" w:color="auto"/>
              <w:bottom w:val="nil"/>
              <w:right w:val="single" w:sz="4" w:space="0" w:color="auto"/>
            </w:tcBorders>
            <w:shd w:val="clear" w:color="auto" w:fill="auto"/>
            <w:noWrap/>
            <w:vAlign w:val="center"/>
            <w:hideMark/>
          </w:tcPr>
          <w:p w14:paraId="1D05206E"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4</w:t>
            </w:r>
          </w:p>
        </w:tc>
        <w:tc>
          <w:tcPr>
            <w:tcW w:w="1060" w:type="dxa"/>
            <w:tcBorders>
              <w:top w:val="nil"/>
              <w:left w:val="nil"/>
              <w:bottom w:val="nil"/>
              <w:right w:val="single" w:sz="4" w:space="0" w:color="auto"/>
            </w:tcBorders>
            <w:shd w:val="clear" w:color="auto" w:fill="auto"/>
            <w:noWrap/>
            <w:vAlign w:val="center"/>
            <w:hideMark/>
          </w:tcPr>
          <w:p w14:paraId="68B9D6ED"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w:t>
            </w:r>
          </w:p>
        </w:tc>
        <w:tc>
          <w:tcPr>
            <w:tcW w:w="1349" w:type="dxa"/>
            <w:tcBorders>
              <w:top w:val="nil"/>
              <w:left w:val="nil"/>
              <w:bottom w:val="nil"/>
              <w:right w:val="single" w:sz="4" w:space="0" w:color="auto"/>
            </w:tcBorders>
            <w:shd w:val="clear" w:color="auto" w:fill="auto"/>
            <w:noWrap/>
            <w:vAlign w:val="center"/>
            <w:hideMark/>
          </w:tcPr>
          <w:p w14:paraId="3C77406D"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25%</w:t>
            </w:r>
          </w:p>
        </w:tc>
        <w:tc>
          <w:tcPr>
            <w:tcW w:w="1600" w:type="dxa"/>
            <w:tcBorders>
              <w:top w:val="nil"/>
              <w:left w:val="nil"/>
              <w:bottom w:val="nil"/>
              <w:right w:val="single" w:sz="4" w:space="0" w:color="auto"/>
            </w:tcBorders>
            <w:shd w:val="clear" w:color="auto" w:fill="auto"/>
            <w:noWrap/>
            <w:vAlign w:val="center"/>
            <w:hideMark/>
          </w:tcPr>
          <w:p w14:paraId="45EF78E1"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$52.35 </w:t>
            </w:r>
          </w:p>
        </w:tc>
        <w:tc>
          <w:tcPr>
            <w:tcW w:w="1560" w:type="dxa"/>
            <w:tcBorders>
              <w:top w:val="nil"/>
              <w:left w:val="nil"/>
              <w:bottom w:val="nil"/>
              <w:right w:val="single" w:sz="8" w:space="0" w:color="auto"/>
            </w:tcBorders>
            <w:shd w:val="clear" w:color="auto" w:fill="auto"/>
            <w:noWrap/>
            <w:vAlign w:val="center"/>
            <w:hideMark/>
          </w:tcPr>
          <w:p w14:paraId="0EFD1D11"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$52.35 </w:t>
            </w:r>
          </w:p>
        </w:tc>
      </w:tr>
      <w:tr w:rsidR="00F12305" w:rsidRPr="00F12305" w14:paraId="7C1E09D6"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7BC96255"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Clearview</w:t>
            </w:r>
          </w:p>
        </w:tc>
        <w:tc>
          <w:tcPr>
            <w:tcW w:w="1304" w:type="dxa"/>
            <w:tcBorders>
              <w:top w:val="nil"/>
              <w:left w:val="single" w:sz="4" w:space="0" w:color="auto"/>
              <w:bottom w:val="nil"/>
              <w:right w:val="single" w:sz="4" w:space="0" w:color="auto"/>
            </w:tcBorders>
            <w:shd w:val="clear" w:color="000000" w:fill="D9D9D9"/>
            <w:noWrap/>
            <w:vAlign w:val="center"/>
            <w:hideMark/>
          </w:tcPr>
          <w:p w14:paraId="77CE59A0"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41</w:t>
            </w:r>
          </w:p>
        </w:tc>
        <w:tc>
          <w:tcPr>
            <w:tcW w:w="1060" w:type="dxa"/>
            <w:tcBorders>
              <w:top w:val="nil"/>
              <w:left w:val="nil"/>
              <w:bottom w:val="nil"/>
              <w:right w:val="single" w:sz="4" w:space="0" w:color="auto"/>
            </w:tcBorders>
            <w:shd w:val="clear" w:color="000000" w:fill="D9D9D9"/>
            <w:noWrap/>
            <w:vAlign w:val="center"/>
            <w:hideMark/>
          </w:tcPr>
          <w:p w14:paraId="42514DFB"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8</w:t>
            </w:r>
          </w:p>
        </w:tc>
        <w:tc>
          <w:tcPr>
            <w:tcW w:w="1349" w:type="dxa"/>
            <w:tcBorders>
              <w:top w:val="nil"/>
              <w:left w:val="nil"/>
              <w:bottom w:val="nil"/>
              <w:right w:val="single" w:sz="4" w:space="0" w:color="auto"/>
            </w:tcBorders>
            <w:shd w:val="clear" w:color="000000" w:fill="D9D9D9"/>
            <w:noWrap/>
            <w:vAlign w:val="center"/>
            <w:hideMark/>
          </w:tcPr>
          <w:p w14:paraId="44295D97"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20%</w:t>
            </w:r>
          </w:p>
        </w:tc>
        <w:tc>
          <w:tcPr>
            <w:tcW w:w="1600" w:type="dxa"/>
            <w:tcBorders>
              <w:top w:val="nil"/>
              <w:left w:val="nil"/>
              <w:bottom w:val="nil"/>
              <w:right w:val="single" w:sz="4" w:space="0" w:color="auto"/>
            </w:tcBorders>
            <w:shd w:val="clear" w:color="000000" w:fill="D9D9D9"/>
            <w:noWrap/>
            <w:vAlign w:val="center"/>
            <w:hideMark/>
          </w:tcPr>
          <w:p w14:paraId="01F847AB"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$357.24 </w:t>
            </w:r>
          </w:p>
        </w:tc>
        <w:tc>
          <w:tcPr>
            <w:tcW w:w="1560" w:type="dxa"/>
            <w:tcBorders>
              <w:top w:val="nil"/>
              <w:left w:val="nil"/>
              <w:bottom w:val="nil"/>
              <w:right w:val="single" w:sz="8" w:space="0" w:color="auto"/>
            </w:tcBorders>
            <w:shd w:val="clear" w:color="000000" w:fill="D9D9D9"/>
            <w:noWrap/>
            <w:vAlign w:val="center"/>
            <w:hideMark/>
          </w:tcPr>
          <w:p w14:paraId="2CE22E7C"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$44.66 </w:t>
            </w:r>
          </w:p>
        </w:tc>
      </w:tr>
      <w:tr w:rsidR="00F12305" w:rsidRPr="00F12305" w14:paraId="27B4F469"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276C4FD4"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Energy Plus</w:t>
            </w:r>
          </w:p>
        </w:tc>
        <w:tc>
          <w:tcPr>
            <w:tcW w:w="1304" w:type="dxa"/>
            <w:tcBorders>
              <w:top w:val="nil"/>
              <w:left w:val="single" w:sz="4" w:space="0" w:color="auto"/>
              <w:bottom w:val="nil"/>
              <w:right w:val="single" w:sz="4" w:space="0" w:color="auto"/>
            </w:tcBorders>
            <w:shd w:val="clear" w:color="auto" w:fill="auto"/>
            <w:noWrap/>
            <w:vAlign w:val="center"/>
            <w:hideMark/>
          </w:tcPr>
          <w:p w14:paraId="013F3FE0"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16</w:t>
            </w:r>
          </w:p>
        </w:tc>
        <w:tc>
          <w:tcPr>
            <w:tcW w:w="1060" w:type="dxa"/>
            <w:tcBorders>
              <w:top w:val="nil"/>
              <w:left w:val="nil"/>
              <w:bottom w:val="nil"/>
              <w:right w:val="single" w:sz="4" w:space="0" w:color="auto"/>
            </w:tcBorders>
            <w:shd w:val="clear" w:color="auto" w:fill="auto"/>
            <w:noWrap/>
            <w:vAlign w:val="center"/>
            <w:hideMark/>
          </w:tcPr>
          <w:p w14:paraId="72822F44"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3</w:t>
            </w:r>
          </w:p>
        </w:tc>
        <w:tc>
          <w:tcPr>
            <w:tcW w:w="1349" w:type="dxa"/>
            <w:tcBorders>
              <w:top w:val="nil"/>
              <w:left w:val="nil"/>
              <w:bottom w:val="nil"/>
              <w:right w:val="single" w:sz="4" w:space="0" w:color="auto"/>
            </w:tcBorders>
            <w:shd w:val="clear" w:color="auto" w:fill="auto"/>
            <w:noWrap/>
            <w:vAlign w:val="center"/>
            <w:hideMark/>
          </w:tcPr>
          <w:p w14:paraId="075C3B12"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19%</w:t>
            </w:r>
          </w:p>
        </w:tc>
        <w:tc>
          <w:tcPr>
            <w:tcW w:w="1600" w:type="dxa"/>
            <w:tcBorders>
              <w:top w:val="nil"/>
              <w:left w:val="nil"/>
              <w:bottom w:val="nil"/>
              <w:right w:val="single" w:sz="4" w:space="0" w:color="auto"/>
            </w:tcBorders>
            <w:shd w:val="clear" w:color="auto" w:fill="auto"/>
            <w:noWrap/>
            <w:vAlign w:val="center"/>
            <w:hideMark/>
          </w:tcPr>
          <w:p w14:paraId="7852C7D3"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$385.00 </w:t>
            </w:r>
          </w:p>
        </w:tc>
        <w:tc>
          <w:tcPr>
            <w:tcW w:w="1560" w:type="dxa"/>
            <w:tcBorders>
              <w:top w:val="nil"/>
              <w:left w:val="nil"/>
              <w:bottom w:val="nil"/>
              <w:right w:val="single" w:sz="8" w:space="0" w:color="auto"/>
            </w:tcBorders>
            <w:shd w:val="clear" w:color="auto" w:fill="auto"/>
            <w:noWrap/>
            <w:vAlign w:val="center"/>
            <w:hideMark/>
          </w:tcPr>
          <w:p w14:paraId="1AC8E2E4"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$128.33 </w:t>
            </w:r>
          </w:p>
        </w:tc>
      </w:tr>
      <w:tr w:rsidR="00F12305" w:rsidRPr="00F12305" w14:paraId="0F08FFD1"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641120BB"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Public Power &amp; Utility</w:t>
            </w:r>
          </w:p>
        </w:tc>
        <w:tc>
          <w:tcPr>
            <w:tcW w:w="1304" w:type="dxa"/>
            <w:tcBorders>
              <w:top w:val="nil"/>
              <w:left w:val="single" w:sz="4" w:space="0" w:color="auto"/>
              <w:bottom w:val="nil"/>
              <w:right w:val="single" w:sz="4" w:space="0" w:color="auto"/>
            </w:tcBorders>
            <w:shd w:val="clear" w:color="000000" w:fill="D9D9D9"/>
            <w:noWrap/>
            <w:vAlign w:val="center"/>
            <w:hideMark/>
          </w:tcPr>
          <w:p w14:paraId="002195CE"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133</w:t>
            </w:r>
          </w:p>
        </w:tc>
        <w:tc>
          <w:tcPr>
            <w:tcW w:w="1060" w:type="dxa"/>
            <w:tcBorders>
              <w:top w:val="nil"/>
              <w:left w:val="nil"/>
              <w:bottom w:val="nil"/>
              <w:right w:val="single" w:sz="4" w:space="0" w:color="auto"/>
            </w:tcBorders>
            <w:shd w:val="clear" w:color="000000" w:fill="D9D9D9"/>
            <w:noWrap/>
            <w:vAlign w:val="center"/>
            <w:hideMark/>
          </w:tcPr>
          <w:p w14:paraId="237CBA9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23</w:t>
            </w:r>
          </w:p>
        </w:tc>
        <w:tc>
          <w:tcPr>
            <w:tcW w:w="1349" w:type="dxa"/>
            <w:tcBorders>
              <w:top w:val="nil"/>
              <w:left w:val="nil"/>
              <w:bottom w:val="nil"/>
              <w:right w:val="single" w:sz="4" w:space="0" w:color="auto"/>
            </w:tcBorders>
            <w:shd w:val="clear" w:color="000000" w:fill="D9D9D9"/>
            <w:noWrap/>
            <w:vAlign w:val="center"/>
            <w:hideMark/>
          </w:tcPr>
          <w:p w14:paraId="030EA932"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17%</w:t>
            </w:r>
          </w:p>
        </w:tc>
        <w:tc>
          <w:tcPr>
            <w:tcW w:w="1600" w:type="dxa"/>
            <w:tcBorders>
              <w:top w:val="nil"/>
              <w:left w:val="nil"/>
              <w:bottom w:val="nil"/>
              <w:right w:val="single" w:sz="4" w:space="0" w:color="auto"/>
            </w:tcBorders>
            <w:shd w:val="clear" w:color="000000" w:fill="D9D9D9"/>
            <w:noWrap/>
            <w:vAlign w:val="center"/>
            <w:hideMark/>
          </w:tcPr>
          <w:p w14:paraId="647D9477"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$5,411.90 </w:t>
            </w:r>
          </w:p>
        </w:tc>
        <w:tc>
          <w:tcPr>
            <w:tcW w:w="1560" w:type="dxa"/>
            <w:tcBorders>
              <w:top w:val="nil"/>
              <w:left w:val="nil"/>
              <w:bottom w:val="nil"/>
              <w:right w:val="single" w:sz="8" w:space="0" w:color="auto"/>
            </w:tcBorders>
            <w:shd w:val="clear" w:color="000000" w:fill="D9D9D9"/>
            <w:noWrap/>
            <w:vAlign w:val="center"/>
            <w:hideMark/>
          </w:tcPr>
          <w:p w14:paraId="40B58701"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$235.30 </w:t>
            </w:r>
          </w:p>
        </w:tc>
      </w:tr>
      <w:tr w:rsidR="00F12305" w:rsidRPr="00F12305" w14:paraId="3CDA381A"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674AAF38"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HOP Energy LLC</w:t>
            </w:r>
          </w:p>
        </w:tc>
        <w:tc>
          <w:tcPr>
            <w:tcW w:w="1304" w:type="dxa"/>
            <w:tcBorders>
              <w:top w:val="nil"/>
              <w:left w:val="single" w:sz="4" w:space="0" w:color="auto"/>
              <w:bottom w:val="nil"/>
              <w:right w:val="single" w:sz="4" w:space="0" w:color="auto"/>
            </w:tcBorders>
            <w:shd w:val="clear" w:color="auto" w:fill="auto"/>
            <w:noWrap/>
            <w:vAlign w:val="center"/>
            <w:hideMark/>
          </w:tcPr>
          <w:p w14:paraId="3730DD52"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6</w:t>
            </w:r>
          </w:p>
        </w:tc>
        <w:tc>
          <w:tcPr>
            <w:tcW w:w="1060" w:type="dxa"/>
            <w:tcBorders>
              <w:top w:val="nil"/>
              <w:left w:val="nil"/>
              <w:bottom w:val="nil"/>
              <w:right w:val="single" w:sz="4" w:space="0" w:color="auto"/>
            </w:tcBorders>
            <w:shd w:val="clear" w:color="auto" w:fill="auto"/>
            <w:noWrap/>
            <w:vAlign w:val="center"/>
            <w:hideMark/>
          </w:tcPr>
          <w:p w14:paraId="68A774CB"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w:t>
            </w:r>
          </w:p>
        </w:tc>
        <w:tc>
          <w:tcPr>
            <w:tcW w:w="1349" w:type="dxa"/>
            <w:tcBorders>
              <w:top w:val="nil"/>
              <w:left w:val="nil"/>
              <w:bottom w:val="nil"/>
              <w:right w:val="single" w:sz="4" w:space="0" w:color="auto"/>
            </w:tcBorders>
            <w:shd w:val="clear" w:color="auto" w:fill="auto"/>
            <w:noWrap/>
            <w:vAlign w:val="center"/>
            <w:hideMark/>
          </w:tcPr>
          <w:p w14:paraId="7B38800F"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17%</w:t>
            </w:r>
          </w:p>
        </w:tc>
        <w:tc>
          <w:tcPr>
            <w:tcW w:w="1600" w:type="dxa"/>
            <w:tcBorders>
              <w:top w:val="nil"/>
              <w:left w:val="nil"/>
              <w:bottom w:val="nil"/>
              <w:right w:val="single" w:sz="4" w:space="0" w:color="auto"/>
            </w:tcBorders>
            <w:shd w:val="clear" w:color="auto" w:fill="auto"/>
            <w:noWrap/>
            <w:vAlign w:val="center"/>
            <w:hideMark/>
          </w:tcPr>
          <w:p w14:paraId="4195CA5E"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$25.00 </w:t>
            </w:r>
          </w:p>
        </w:tc>
        <w:tc>
          <w:tcPr>
            <w:tcW w:w="1560" w:type="dxa"/>
            <w:tcBorders>
              <w:top w:val="nil"/>
              <w:left w:val="nil"/>
              <w:bottom w:val="nil"/>
              <w:right w:val="single" w:sz="8" w:space="0" w:color="auto"/>
            </w:tcBorders>
            <w:shd w:val="clear" w:color="auto" w:fill="auto"/>
            <w:noWrap/>
            <w:vAlign w:val="center"/>
            <w:hideMark/>
          </w:tcPr>
          <w:p w14:paraId="2A8148FF"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$25.00 </w:t>
            </w:r>
          </w:p>
        </w:tc>
      </w:tr>
      <w:tr w:rsidR="00F12305" w:rsidRPr="00F12305" w14:paraId="7EF614CB"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1AA712A4"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Constellation</w:t>
            </w:r>
          </w:p>
        </w:tc>
        <w:tc>
          <w:tcPr>
            <w:tcW w:w="1304" w:type="dxa"/>
            <w:tcBorders>
              <w:top w:val="nil"/>
              <w:left w:val="single" w:sz="4" w:space="0" w:color="auto"/>
              <w:bottom w:val="nil"/>
              <w:right w:val="single" w:sz="4" w:space="0" w:color="auto"/>
            </w:tcBorders>
            <w:shd w:val="clear" w:color="000000" w:fill="D9D9D9"/>
            <w:noWrap/>
            <w:vAlign w:val="center"/>
            <w:hideMark/>
          </w:tcPr>
          <w:p w14:paraId="1682E536"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27</w:t>
            </w:r>
          </w:p>
        </w:tc>
        <w:tc>
          <w:tcPr>
            <w:tcW w:w="1060" w:type="dxa"/>
            <w:tcBorders>
              <w:top w:val="nil"/>
              <w:left w:val="nil"/>
              <w:bottom w:val="nil"/>
              <w:right w:val="single" w:sz="4" w:space="0" w:color="auto"/>
            </w:tcBorders>
            <w:shd w:val="clear" w:color="000000" w:fill="D9D9D9"/>
            <w:noWrap/>
            <w:vAlign w:val="center"/>
            <w:hideMark/>
          </w:tcPr>
          <w:p w14:paraId="36A014F8"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4</w:t>
            </w:r>
          </w:p>
        </w:tc>
        <w:tc>
          <w:tcPr>
            <w:tcW w:w="1349" w:type="dxa"/>
            <w:tcBorders>
              <w:top w:val="nil"/>
              <w:left w:val="nil"/>
              <w:bottom w:val="nil"/>
              <w:right w:val="single" w:sz="4" w:space="0" w:color="auto"/>
            </w:tcBorders>
            <w:shd w:val="clear" w:color="000000" w:fill="D9D9D9"/>
            <w:noWrap/>
            <w:vAlign w:val="center"/>
            <w:hideMark/>
          </w:tcPr>
          <w:p w14:paraId="36514B75"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15%</w:t>
            </w:r>
          </w:p>
        </w:tc>
        <w:tc>
          <w:tcPr>
            <w:tcW w:w="1600" w:type="dxa"/>
            <w:tcBorders>
              <w:top w:val="nil"/>
              <w:left w:val="nil"/>
              <w:bottom w:val="nil"/>
              <w:right w:val="single" w:sz="4" w:space="0" w:color="auto"/>
            </w:tcBorders>
            <w:shd w:val="clear" w:color="000000" w:fill="D9D9D9"/>
            <w:noWrap/>
            <w:vAlign w:val="center"/>
            <w:hideMark/>
          </w:tcPr>
          <w:p w14:paraId="67C8876A"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$324.01 </w:t>
            </w:r>
          </w:p>
        </w:tc>
        <w:tc>
          <w:tcPr>
            <w:tcW w:w="1560" w:type="dxa"/>
            <w:tcBorders>
              <w:top w:val="nil"/>
              <w:left w:val="nil"/>
              <w:bottom w:val="nil"/>
              <w:right w:val="single" w:sz="8" w:space="0" w:color="auto"/>
            </w:tcBorders>
            <w:shd w:val="clear" w:color="000000" w:fill="D9D9D9"/>
            <w:noWrap/>
            <w:vAlign w:val="center"/>
            <w:hideMark/>
          </w:tcPr>
          <w:p w14:paraId="12FFEB64"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$81.00 </w:t>
            </w:r>
          </w:p>
        </w:tc>
      </w:tr>
      <w:tr w:rsidR="00F12305" w:rsidRPr="00F12305" w14:paraId="0BA9EFDC"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4188BC29"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Direct Energy</w:t>
            </w:r>
          </w:p>
        </w:tc>
        <w:tc>
          <w:tcPr>
            <w:tcW w:w="1304" w:type="dxa"/>
            <w:tcBorders>
              <w:top w:val="nil"/>
              <w:left w:val="single" w:sz="4" w:space="0" w:color="auto"/>
              <w:bottom w:val="nil"/>
              <w:right w:val="single" w:sz="4" w:space="0" w:color="auto"/>
            </w:tcBorders>
            <w:shd w:val="clear" w:color="auto" w:fill="auto"/>
            <w:noWrap/>
            <w:vAlign w:val="center"/>
            <w:hideMark/>
          </w:tcPr>
          <w:p w14:paraId="35A75A0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77</w:t>
            </w:r>
          </w:p>
        </w:tc>
        <w:tc>
          <w:tcPr>
            <w:tcW w:w="1060" w:type="dxa"/>
            <w:tcBorders>
              <w:top w:val="nil"/>
              <w:left w:val="nil"/>
              <w:bottom w:val="nil"/>
              <w:right w:val="single" w:sz="4" w:space="0" w:color="auto"/>
            </w:tcBorders>
            <w:shd w:val="clear" w:color="auto" w:fill="auto"/>
            <w:noWrap/>
            <w:vAlign w:val="center"/>
            <w:hideMark/>
          </w:tcPr>
          <w:p w14:paraId="7035459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9</w:t>
            </w:r>
          </w:p>
        </w:tc>
        <w:tc>
          <w:tcPr>
            <w:tcW w:w="1349" w:type="dxa"/>
            <w:tcBorders>
              <w:top w:val="nil"/>
              <w:left w:val="nil"/>
              <w:bottom w:val="nil"/>
              <w:right w:val="single" w:sz="4" w:space="0" w:color="auto"/>
            </w:tcBorders>
            <w:shd w:val="clear" w:color="auto" w:fill="auto"/>
            <w:noWrap/>
            <w:vAlign w:val="center"/>
            <w:hideMark/>
          </w:tcPr>
          <w:p w14:paraId="46BB682E"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12%</w:t>
            </w:r>
          </w:p>
        </w:tc>
        <w:tc>
          <w:tcPr>
            <w:tcW w:w="1600" w:type="dxa"/>
            <w:tcBorders>
              <w:top w:val="nil"/>
              <w:left w:val="nil"/>
              <w:bottom w:val="nil"/>
              <w:right w:val="single" w:sz="4" w:space="0" w:color="auto"/>
            </w:tcBorders>
            <w:shd w:val="clear" w:color="auto" w:fill="auto"/>
            <w:noWrap/>
            <w:vAlign w:val="center"/>
            <w:hideMark/>
          </w:tcPr>
          <w:p w14:paraId="1E987AB7"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$582.16 </w:t>
            </w:r>
          </w:p>
        </w:tc>
        <w:tc>
          <w:tcPr>
            <w:tcW w:w="1560" w:type="dxa"/>
            <w:tcBorders>
              <w:top w:val="nil"/>
              <w:left w:val="nil"/>
              <w:bottom w:val="nil"/>
              <w:right w:val="single" w:sz="8" w:space="0" w:color="auto"/>
            </w:tcBorders>
            <w:shd w:val="clear" w:color="auto" w:fill="auto"/>
            <w:noWrap/>
            <w:vAlign w:val="center"/>
            <w:hideMark/>
          </w:tcPr>
          <w:p w14:paraId="5AA87554"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$64.68 </w:t>
            </w:r>
          </w:p>
        </w:tc>
      </w:tr>
      <w:tr w:rsidR="00F12305" w:rsidRPr="00F12305" w14:paraId="23A28C7C"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11638452"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Liberty Power</w:t>
            </w:r>
          </w:p>
        </w:tc>
        <w:tc>
          <w:tcPr>
            <w:tcW w:w="1304" w:type="dxa"/>
            <w:tcBorders>
              <w:top w:val="nil"/>
              <w:left w:val="single" w:sz="4" w:space="0" w:color="auto"/>
              <w:bottom w:val="nil"/>
              <w:right w:val="single" w:sz="4" w:space="0" w:color="auto"/>
            </w:tcBorders>
            <w:shd w:val="clear" w:color="000000" w:fill="D9D9D9"/>
            <w:noWrap/>
            <w:vAlign w:val="center"/>
            <w:hideMark/>
          </w:tcPr>
          <w:p w14:paraId="31D7F683"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19</w:t>
            </w:r>
          </w:p>
        </w:tc>
        <w:tc>
          <w:tcPr>
            <w:tcW w:w="1060" w:type="dxa"/>
            <w:tcBorders>
              <w:top w:val="nil"/>
              <w:left w:val="nil"/>
              <w:bottom w:val="nil"/>
              <w:right w:val="single" w:sz="4" w:space="0" w:color="auto"/>
            </w:tcBorders>
            <w:shd w:val="clear" w:color="000000" w:fill="D9D9D9"/>
            <w:noWrap/>
            <w:vAlign w:val="center"/>
            <w:hideMark/>
          </w:tcPr>
          <w:p w14:paraId="4518C652"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w:t>
            </w:r>
          </w:p>
        </w:tc>
        <w:tc>
          <w:tcPr>
            <w:tcW w:w="1349" w:type="dxa"/>
            <w:tcBorders>
              <w:top w:val="nil"/>
              <w:left w:val="nil"/>
              <w:bottom w:val="nil"/>
              <w:right w:val="single" w:sz="4" w:space="0" w:color="auto"/>
            </w:tcBorders>
            <w:shd w:val="clear" w:color="000000" w:fill="D9D9D9"/>
            <w:noWrap/>
            <w:vAlign w:val="center"/>
            <w:hideMark/>
          </w:tcPr>
          <w:p w14:paraId="627D239C"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11%</w:t>
            </w:r>
          </w:p>
        </w:tc>
        <w:tc>
          <w:tcPr>
            <w:tcW w:w="1600" w:type="dxa"/>
            <w:tcBorders>
              <w:top w:val="nil"/>
              <w:left w:val="nil"/>
              <w:bottom w:val="nil"/>
              <w:right w:val="single" w:sz="4" w:space="0" w:color="auto"/>
            </w:tcBorders>
            <w:shd w:val="clear" w:color="000000" w:fill="D9D9D9"/>
            <w:noWrap/>
            <w:vAlign w:val="center"/>
            <w:hideMark/>
          </w:tcPr>
          <w:p w14:paraId="75CC001E"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$352.95 </w:t>
            </w:r>
          </w:p>
        </w:tc>
        <w:tc>
          <w:tcPr>
            <w:tcW w:w="1560" w:type="dxa"/>
            <w:tcBorders>
              <w:top w:val="nil"/>
              <w:left w:val="nil"/>
              <w:bottom w:val="nil"/>
              <w:right w:val="single" w:sz="8" w:space="0" w:color="auto"/>
            </w:tcBorders>
            <w:shd w:val="clear" w:color="000000" w:fill="D9D9D9"/>
            <w:noWrap/>
            <w:vAlign w:val="center"/>
            <w:hideMark/>
          </w:tcPr>
          <w:p w14:paraId="2E2D870B"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$176.48 </w:t>
            </w:r>
          </w:p>
        </w:tc>
      </w:tr>
      <w:tr w:rsidR="00F12305" w:rsidRPr="00F12305" w14:paraId="13767746"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2DF44292"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Discount Power</w:t>
            </w:r>
          </w:p>
        </w:tc>
        <w:tc>
          <w:tcPr>
            <w:tcW w:w="1304" w:type="dxa"/>
            <w:tcBorders>
              <w:top w:val="nil"/>
              <w:left w:val="single" w:sz="4" w:space="0" w:color="auto"/>
              <w:bottom w:val="nil"/>
              <w:right w:val="single" w:sz="4" w:space="0" w:color="auto"/>
            </w:tcBorders>
            <w:shd w:val="clear" w:color="auto" w:fill="auto"/>
            <w:noWrap/>
            <w:vAlign w:val="center"/>
            <w:hideMark/>
          </w:tcPr>
          <w:p w14:paraId="0EAAA67F"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29</w:t>
            </w:r>
          </w:p>
        </w:tc>
        <w:tc>
          <w:tcPr>
            <w:tcW w:w="1060" w:type="dxa"/>
            <w:tcBorders>
              <w:top w:val="nil"/>
              <w:left w:val="nil"/>
              <w:bottom w:val="nil"/>
              <w:right w:val="single" w:sz="4" w:space="0" w:color="auto"/>
            </w:tcBorders>
            <w:shd w:val="clear" w:color="auto" w:fill="auto"/>
            <w:noWrap/>
            <w:vAlign w:val="center"/>
            <w:hideMark/>
          </w:tcPr>
          <w:p w14:paraId="43C2063E"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w:t>
            </w:r>
          </w:p>
        </w:tc>
        <w:tc>
          <w:tcPr>
            <w:tcW w:w="1349" w:type="dxa"/>
            <w:tcBorders>
              <w:top w:val="nil"/>
              <w:left w:val="nil"/>
              <w:bottom w:val="nil"/>
              <w:right w:val="single" w:sz="4" w:space="0" w:color="auto"/>
            </w:tcBorders>
            <w:shd w:val="clear" w:color="auto" w:fill="auto"/>
            <w:noWrap/>
            <w:vAlign w:val="center"/>
            <w:hideMark/>
          </w:tcPr>
          <w:p w14:paraId="05764388"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7%</w:t>
            </w:r>
          </w:p>
        </w:tc>
        <w:tc>
          <w:tcPr>
            <w:tcW w:w="1600" w:type="dxa"/>
            <w:tcBorders>
              <w:top w:val="nil"/>
              <w:left w:val="nil"/>
              <w:bottom w:val="nil"/>
              <w:right w:val="single" w:sz="4" w:space="0" w:color="auto"/>
            </w:tcBorders>
            <w:shd w:val="clear" w:color="auto" w:fill="auto"/>
            <w:noWrap/>
            <w:vAlign w:val="center"/>
            <w:hideMark/>
          </w:tcPr>
          <w:p w14:paraId="25096511"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$64.08 </w:t>
            </w:r>
          </w:p>
        </w:tc>
        <w:tc>
          <w:tcPr>
            <w:tcW w:w="1560" w:type="dxa"/>
            <w:tcBorders>
              <w:top w:val="nil"/>
              <w:left w:val="nil"/>
              <w:bottom w:val="nil"/>
              <w:right w:val="single" w:sz="8" w:space="0" w:color="auto"/>
            </w:tcBorders>
            <w:shd w:val="clear" w:color="auto" w:fill="auto"/>
            <w:noWrap/>
            <w:vAlign w:val="center"/>
            <w:hideMark/>
          </w:tcPr>
          <w:p w14:paraId="7476FA8A"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$32.04 </w:t>
            </w:r>
          </w:p>
        </w:tc>
      </w:tr>
      <w:tr w:rsidR="00F12305" w:rsidRPr="00F12305" w14:paraId="71040312" w14:textId="77777777" w:rsidTr="00F12305">
        <w:trPr>
          <w:trHeight w:val="280"/>
          <w:jc w:val="center"/>
        </w:trPr>
        <w:tc>
          <w:tcPr>
            <w:tcW w:w="3260" w:type="dxa"/>
            <w:tcBorders>
              <w:top w:val="nil"/>
              <w:left w:val="single" w:sz="8" w:space="0" w:color="auto"/>
              <w:bottom w:val="nil"/>
              <w:right w:val="nil"/>
            </w:tcBorders>
            <w:shd w:val="clear" w:color="000000" w:fill="D9D9D9"/>
            <w:noWrap/>
            <w:vAlign w:val="center"/>
            <w:hideMark/>
          </w:tcPr>
          <w:p w14:paraId="42CA64B6"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Verde</w:t>
            </w:r>
          </w:p>
        </w:tc>
        <w:tc>
          <w:tcPr>
            <w:tcW w:w="1304" w:type="dxa"/>
            <w:tcBorders>
              <w:top w:val="nil"/>
              <w:left w:val="single" w:sz="4" w:space="0" w:color="auto"/>
              <w:bottom w:val="nil"/>
              <w:right w:val="single" w:sz="4" w:space="0" w:color="auto"/>
            </w:tcBorders>
            <w:shd w:val="clear" w:color="000000" w:fill="D9D9D9"/>
            <w:noWrap/>
            <w:vAlign w:val="center"/>
            <w:hideMark/>
          </w:tcPr>
          <w:p w14:paraId="6986815E"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19</w:t>
            </w:r>
          </w:p>
        </w:tc>
        <w:tc>
          <w:tcPr>
            <w:tcW w:w="1060" w:type="dxa"/>
            <w:tcBorders>
              <w:top w:val="nil"/>
              <w:left w:val="nil"/>
              <w:bottom w:val="nil"/>
              <w:right w:val="single" w:sz="4" w:space="0" w:color="auto"/>
            </w:tcBorders>
            <w:shd w:val="clear" w:color="000000" w:fill="D9D9D9"/>
            <w:noWrap/>
            <w:vAlign w:val="center"/>
            <w:hideMark/>
          </w:tcPr>
          <w:p w14:paraId="681DD886"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w:t>
            </w:r>
          </w:p>
        </w:tc>
        <w:tc>
          <w:tcPr>
            <w:tcW w:w="1349" w:type="dxa"/>
            <w:tcBorders>
              <w:top w:val="nil"/>
              <w:left w:val="nil"/>
              <w:bottom w:val="nil"/>
              <w:right w:val="single" w:sz="4" w:space="0" w:color="auto"/>
            </w:tcBorders>
            <w:shd w:val="clear" w:color="000000" w:fill="D9D9D9"/>
            <w:noWrap/>
            <w:vAlign w:val="center"/>
            <w:hideMark/>
          </w:tcPr>
          <w:p w14:paraId="5C0883AA"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5%</w:t>
            </w:r>
          </w:p>
        </w:tc>
        <w:tc>
          <w:tcPr>
            <w:tcW w:w="1600" w:type="dxa"/>
            <w:tcBorders>
              <w:top w:val="nil"/>
              <w:left w:val="nil"/>
              <w:bottom w:val="nil"/>
              <w:right w:val="single" w:sz="4" w:space="0" w:color="auto"/>
            </w:tcBorders>
            <w:shd w:val="clear" w:color="000000" w:fill="D9D9D9"/>
            <w:noWrap/>
            <w:vAlign w:val="center"/>
            <w:hideMark/>
          </w:tcPr>
          <w:p w14:paraId="4DAFFBAE"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$50.00 </w:t>
            </w:r>
          </w:p>
        </w:tc>
        <w:tc>
          <w:tcPr>
            <w:tcW w:w="1560" w:type="dxa"/>
            <w:tcBorders>
              <w:top w:val="nil"/>
              <w:left w:val="nil"/>
              <w:bottom w:val="nil"/>
              <w:right w:val="single" w:sz="8" w:space="0" w:color="auto"/>
            </w:tcBorders>
            <w:shd w:val="clear" w:color="000000" w:fill="D9D9D9"/>
            <w:noWrap/>
            <w:vAlign w:val="center"/>
            <w:hideMark/>
          </w:tcPr>
          <w:p w14:paraId="735723C4"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$50.00 </w:t>
            </w:r>
          </w:p>
        </w:tc>
      </w:tr>
      <w:tr w:rsidR="00F12305" w:rsidRPr="00F12305" w14:paraId="5BDED8D6" w14:textId="77777777" w:rsidTr="00F12305">
        <w:trPr>
          <w:trHeight w:val="280"/>
          <w:jc w:val="center"/>
        </w:trPr>
        <w:tc>
          <w:tcPr>
            <w:tcW w:w="3260" w:type="dxa"/>
            <w:tcBorders>
              <w:top w:val="nil"/>
              <w:left w:val="single" w:sz="8" w:space="0" w:color="auto"/>
              <w:bottom w:val="nil"/>
              <w:right w:val="nil"/>
            </w:tcBorders>
            <w:shd w:val="clear" w:color="auto" w:fill="auto"/>
            <w:noWrap/>
            <w:vAlign w:val="center"/>
            <w:hideMark/>
          </w:tcPr>
          <w:p w14:paraId="41F6C6E5" w14:textId="77777777" w:rsidR="00F12305" w:rsidRPr="00F12305" w:rsidRDefault="00F12305" w:rsidP="00F12305">
            <w:pPr>
              <w:keepNext/>
              <w:keepLines/>
              <w:widowControl/>
              <w:autoSpaceDE/>
              <w:autoSpaceDN/>
              <w:adjustRightInd/>
              <w:ind w:firstLine="220"/>
              <w:rPr>
                <w:color w:val="000000"/>
                <w:sz w:val="22"/>
                <w:szCs w:val="22"/>
              </w:rPr>
            </w:pPr>
            <w:r w:rsidRPr="00F12305">
              <w:rPr>
                <w:color w:val="000000"/>
                <w:sz w:val="22"/>
                <w:szCs w:val="22"/>
              </w:rPr>
              <w:t>Dominion</w:t>
            </w:r>
          </w:p>
        </w:tc>
        <w:tc>
          <w:tcPr>
            <w:tcW w:w="1304" w:type="dxa"/>
            <w:tcBorders>
              <w:top w:val="nil"/>
              <w:left w:val="single" w:sz="4" w:space="0" w:color="auto"/>
              <w:bottom w:val="nil"/>
              <w:right w:val="single" w:sz="4" w:space="0" w:color="auto"/>
            </w:tcBorders>
            <w:shd w:val="clear" w:color="auto" w:fill="auto"/>
            <w:noWrap/>
            <w:vAlign w:val="center"/>
            <w:hideMark/>
          </w:tcPr>
          <w:p w14:paraId="333914B0"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29</w:t>
            </w:r>
          </w:p>
        </w:tc>
        <w:tc>
          <w:tcPr>
            <w:tcW w:w="1060" w:type="dxa"/>
            <w:tcBorders>
              <w:top w:val="nil"/>
              <w:left w:val="nil"/>
              <w:bottom w:val="nil"/>
              <w:right w:val="single" w:sz="4" w:space="0" w:color="auto"/>
            </w:tcBorders>
            <w:shd w:val="clear" w:color="auto" w:fill="auto"/>
            <w:noWrap/>
            <w:vAlign w:val="center"/>
            <w:hideMark/>
          </w:tcPr>
          <w:p w14:paraId="2FDB611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1</w:t>
            </w:r>
          </w:p>
        </w:tc>
        <w:tc>
          <w:tcPr>
            <w:tcW w:w="1349" w:type="dxa"/>
            <w:tcBorders>
              <w:top w:val="nil"/>
              <w:left w:val="nil"/>
              <w:bottom w:val="nil"/>
              <w:right w:val="single" w:sz="4" w:space="0" w:color="auto"/>
            </w:tcBorders>
            <w:shd w:val="clear" w:color="auto" w:fill="auto"/>
            <w:noWrap/>
            <w:vAlign w:val="center"/>
            <w:hideMark/>
          </w:tcPr>
          <w:p w14:paraId="0E281E80"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14:paraId="3426CCFF"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$20.00 </w:t>
            </w:r>
          </w:p>
        </w:tc>
        <w:tc>
          <w:tcPr>
            <w:tcW w:w="1560" w:type="dxa"/>
            <w:tcBorders>
              <w:top w:val="nil"/>
              <w:left w:val="nil"/>
              <w:bottom w:val="nil"/>
              <w:right w:val="single" w:sz="8" w:space="0" w:color="auto"/>
            </w:tcBorders>
            <w:shd w:val="clear" w:color="auto" w:fill="auto"/>
            <w:noWrap/>
            <w:vAlign w:val="center"/>
            <w:hideMark/>
          </w:tcPr>
          <w:p w14:paraId="4F932AD4" w14:textId="77777777" w:rsidR="00F12305" w:rsidRPr="00F12305" w:rsidRDefault="00F12305" w:rsidP="00F12305">
            <w:pPr>
              <w:keepNext/>
              <w:keepLines/>
              <w:widowControl/>
              <w:autoSpaceDE/>
              <w:autoSpaceDN/>
              <w:adjustRightInd/>
              <w:ind w:left="-260" w:firstLine="260"/>
              <w:jc w:val="right"/>
              <w:rPr>
                <w:color w:val="000000"/>
                <w:sz w:val="22"/>
                <w:szCs w:val="22"/>
              </w:rPr>
            </w:pPr>
            <w:r w:rsidRPr="00F12305">
              <w:rPr>
                <w:color w:val="000000"/>
                <w:sz w:val="22"/>
                <w:szCs w:val="22"/>
              </w:rPr>
              <w:t xml:space="preserve"> $20.00 </w:t>
            </w:r>
          </w:p>
        </w:tc>
      </w:tr>
      <w:tr w:rsidR="00F12305" w:rsidRPr="00F12305" w14:paraId="3D21A7B1" w14:textId="77777777" w:rsidTr="00F12305">
        <w:trPr>
          <w:trHeight w:val="340"/>
          <w:jc w:val="center"/>
        </w:trPr>
        <w:tc>
          <w:tcPr>
            <w:tcW w:w="3260" w:type="dxa"/>
            <w:tcBorders>
              <w:top w:val="single" w:sz="4" w:space="0" w:color="auto"/>
              <w:left w:val="single" w:sz="8" w:space="0" w:color="auto"/>
              <w:bottom w:val="nil"/>
              <w:right w:val="nil"/>
            </w:tcBorders>
            <w:shd w:val="clear" w:color="000000" w:fill="D9D9D9"/>
            <w:noWrap/>
            <w:vAlign w:val="center"/>
            <w:hideMark/>
          </w:tcPr>
          <w:p w14:paraId="0F317112" w14:textId="77777777" w:rsidR="00F12305" w:rsidRPr="00F12305" w:rsidRDefault="004319B1" w:rsidP="00F12305">
            <w:pPr>
              <w:keepNext/>
              <w:keepLines/>
              <w:widowControl/>
              <w:autoSpaceDE/>
              <w:autoSpaceDN/>
              <w:adjustRightInd/>
              <w:rPr>
                <w:color w:val="000000"/>
                <w:sz w:val="22"/>
                <w:szCs w:val="22"/>
              </w:rPr>
            </w:pPr>
            <w:r w:rsidRPr="00F12305">
              <w:rPr>
                <w:color w:val="000000"/>
                <w:sz w:val="22"/>
                <w:szCs w:val="22"/>
              </w:rPr>
              <w:t>S</w:t>
            </w:r>
            <w:r w:rsidR="00F12305" w:rsidRPr="00F12305">
              <w:rPr>
                <w:color w:val="000000"/>
                <w:sz w:val="22"/>
                <w:szCs w:val="22"/>
              </w:rPr>
              <w:t>ubtotal</w:t>
            </w:r>
          </w:p>
        </w:tc>
        <w:tc>
          <w:tcPr>
            <w:tcW w:w="1304" w:type="dxa"/>
            <w:tcBorders>
              <w:top w:val="single" w:sz="4" w:space="0" w:color="auto"/>
              <w:left w:val="single" w:sz="4" w:space="0" w:color="auto"/>
              <w:bottom w:val="nil"/>
              <w:right w:val="single" w:sz="4" w:space="0" w:color="auto"/>
            </w:tcBorders>
            <w:shd w:val="clear" w:color="000000" w:fill="D9D9D9"/>
            <w:noWrap/>
            <w:vAlign w:val="center"/>
            <w:hideMark/>
          </w:tcPr>
          <w:p w14:paraId="76CB858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789</w:t>
            </w:r>
          </w:p>
        </w:tc>
        <w:tc>
          <w:tcPr>
            <w:tcW w:w="1060" w:type="dxa"/>
            <w:tcBorders>
              <w:top w:val="single" w:sz="4" w:space="0" w:color="auto"/>
              <w:left w:val="nil"/>
              <w:bottom w:val="nil"/>
              <w:right w:val="single" w:sz="4" w:space="0" w:color="auto"/>
            </w:tcBorders>
            <w:shd w:val="clear" w:color="000000" w:fill="D9D9D9"/>
            <w:noWrap/>
            <w:vAlign w:val="center"/>
            <w:hideMark/>
          </w:tcPr>
          <w:p w14:paraId="78CE322E"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220</w:t>
            </w:r>
          </w:p>
        </w:tc>
        <w:tc>
          <w:tcPr>
            <w:tcW w:w="1349" w:type="dxa"/>
            <w:tcBorders>
              <w:top w:val="single" w:sz="4" w:space="0" w:color="auto"/>
              <w:left w:val="nil"/>
              <w:bottom w:val="nil"/>
              <w:right w:val="single" w:sz="4" w:space="0" w:color="auto"/>
            </w:tcBorders>
            <w:shd w:val="clear" w:color="000000" w:fill="D9D9D9"/>
            <w:noWrap/>
            <w:vAlign w:val="center"/>
            <w:hideMark/>
          </w:tcPr>
          <w:p w14:paraId="1967FA16"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28%</w:t>
            </w:r>
          </w:p>
        </w:tc>
        <w:tc>
          <w:tcPr>
            <w:tcW w:w="1600" w:type="dxa"/>
            <w:tcBorders>
              <w:top w:val="nil"/>
              <w:left w:val="nil"/>
              <w:bottom w:val="nil"/>
              <w:right w:val="single" w:sz="4" w:space="0" w:color="auto"/>
            </w:tcBorders>
            <w:shd w:val="clear" w:color="000000" w:fill="D9D9D9"/>
            <w:noWrap/>
            <w:vAlign w:val="center"/>
            <w:hideMark/>
          </w:tcPr>
          <w:p w14:paraId="44F1DCB5"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 xml:space="preserve"> $31,808.62 </w:t>
            </w:r>
          </w:p>
        </w:tc>
        <w:tc>
          <w:tcPr>
            <w:tcW w:w="1560" w:type="dxa"/>
            <w:tcBorders>
              <w:top w:val="single" w:sz="4" w:space="0" w:color="auto"/>
              <w:left w:val="nil"/>
              <w:bottom w:val="nil"/>
              <w:right w:val="single" w:sz="8" w:space="0" w:color="auto"/>
            </w:tcBorders>
            <w:shd w:val="clear" w:color="000000" w:fill="D9D9D9"/>
            <w:noWrap/>
            <w:vAlign w:val="center"/>
            <w:hideMark/>
          </w:tcPr>
          <w:p w14:paraId="0DACE6DF"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 xml:space="preserve"> $144.58 </w:t>
            </w:r>
          </w:p>
        </w:tc>
      </w:tr>
      <w:tr w:rsidR="00F12305" w:rsidRPr="00F12305" w14:paraId="41886B53" w14:textId="77777777" w:rsidTr="00F12305">
        <w:trPr>
          <w:trHeight w:val="700"/>
          <w:jc w:val="center"/>
        </w:trPr>
        <w:tc>
          <w:tcPr>
            <w:tcW w:w="3260" w:type="dxa"/>
            <w:tcBorders>
              <w:top w:val="nil"/>
              <w:left w:val="single" w:sz="8" w:space="0" w:color="auto"/>
              <w:bottom w:val="nil"/>
              <w:right w:val="nil"/>
            </w:tcBorders>
            <w:shd w:val="clear" w:color="auto" w:fill="auto"/>
            <w:vAlign w:val="center"/>
            <w:hideMark/>
          </w:tcPr>
          <w:p w14:paraId="4F2B115C" w14:textId="77777777" w:rsidR="00F12305" w:rsidRPr="00F12305" w:rsidRDefault="00F12305" w:rsidP="00F12305">
            <w:pPr>
              <w:keepNext/>
              <w:keepLines/>
              <w:widowControl/>
              <w:autoSpaceDE/>
              <w:autoSpaceDN/>
              <w:adjustRightInd/>
              <w:rPr>
                <w:color w:val="000000"/>
                <w:sz w:val="22"/>
                <w:szCs w:val="22"/>
              </w:rPr>
            </w:pPr>
            <w:r w:rsidRPr="00F12305">
              <w:rPr>
                <w:color w:val="000000"/>
                <w:sz w:val="22"/>
                <w:szCs w:val="22"/>
              </w:rPr>
              <w:t>all other</w:t>
            </w:r>
            <w:r w:rsidR="00A93FF2">
              <w:rPr>
                <w:color w:val="000000"/>
                <w:sz w:val="22"/>
                <w:szCs w:val="22"/>
              </w:rPr>
              <w:t xml:space="preserve"> Supplier</w:t>
            </w:r>
            <w:r w:rsidRPr="00F12305">
              <w:rPr>
                <w:color w:val="000000"/>
                <w:sz w:val="22"/>
                <w:szCs w:val="22"/>
              </w:rPr>
              <w:t>s about which consumers complained</w:t>
            </w:r>
          </w:p>
        </w:tc>
        <w:tc>
          <w:tcPr>
            <w:tcW w:w="1304" w:type="dxa"/>
            <w:tcBorders>
              <w:top w:val="nil"/>
              <w:left w:val="single" w:sz="4" w:space="0" w:color="auto"/>
              <w:bottom w:val="nil"/>
              <w:right w:val="single" w:sz="4" w:space="0" w:color="auto"/>
            </w:tcBorders>
            <w:shd w:val="clear" w:color="auto" w:fill="auto"/>
            <w:noWrap/>
            <w:vAlign w:val="center"/>
            <w:hideMark/>
          </w:tcPr>
          <w:p w14:paraId="4245CB04"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29</w:t>
            </w:r>
          </w:p>
        </w:tc>
        <w:tc>
          <w:tcPr>
            <w:tcW w:w="1060" w:type="dxa"/>
            <w:tcBorders>
              <w:top w:val="nil"/>
              <w:left w:val="nil"/>
              <w:bottom w:val="nil"/>
              <w:right w:val="single" w:sz="4" w:space="0" w:color="auto"/>
            </w:tcBorders>
            <w:shd w:val="clear" w:color="auto" w:fill="auto"/>
            <w:noWrap/>
            <w:vAlign w:val="center"/>
            <w:hideMark/>
          </w:tcPr>
          <w:p w14:paraId="0A8A3511"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0</w:t>
            </w:r>
          </w:p>
        </w:tc>
        <w:tc>
          <w:tcPr>
            <w:tcW w:w="1349" w:type="dxa"/>
            <w:tcBorders>
              <w:top w:val="nil"/>
              <w:left w:val="nil"/>
              <w:bottom w:val="nil"/>
              <w:right w:val="single" w:sz="4" w:space="0" w:color="auto"/>
            </w:tcBorders>
            <w:shd w:val="clear" w:color="auto" w:fill="auto"/>
            <w:noWrap/>
            <w:vAlign w:val="center"/>
            <w:hideMark/>
          </w:tcPr>
          <w:p w14:paraId="73229421"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0</w:t>
            </w:r>
          </w:p>
        </w:tc>
        <w:tc>
          <w:tcPr>
            <w:tcW w:w="1600" w:type="dxa"/>
            <w:tcBorders>
              <w:top w:val="nil"/>
              <w:left w:val="nil"/>
              <w:bottom w:val="nil"/>
              <w:right w:val="single" w:sz="4" w:space="0" w:color="auto"/>
            </w:tcBorders>
            <w:shd w:val="clear" w:color="auto" w:fill="auto"/>
            <w:noWrap/>
            <w:vAlign w:val="center"/>
            <w:hideMark/>
          </w:tcPr>
          <w:p w14:paraId="1099B6B8"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w:t>
            </w:r>
            <w:r>
              <w:rPr>
                <w:color w:val="000000"/>
                <w:sz w:val="22"/>
                <w:szCs w:val="22"/>
              </w:rPr>
              <w:t xml:space="preserve">   </w:t>
            </w:r>
            <w:r w:rsidRPr="00F12305">
              <w:rPr>
                <w:color w:val="000000"/>
                <w:sz w:val="22"/>
                <w:szCs w:val="22"/>
              </w:rPr>
              <w:t>-</w:t>
            </w:r>
          </w:p>
        </w:tc>
        <w:tc>
          <w:tcPr>
            <w:tcW w:w="1560" w:type="dxa"/>
            <w:tcBorders>
              <w:top w:val="nil"/>
              <w:left w:val="nil"/>
              <w:bottom w:val="nil"/>
              <w:right w:val="single" w:sz="8" w:space="0" w:color="auto"/>
            </w:tcBorders>
            <w:shd w:val="clear" w:color="auto" w:fill="auto"/>
            <w:noWrap/>
            <w:vAlign w:val="center"/>
            <w:hideMark/>
          </w:tcPr>
          <w:p w14:paraId="740366B7"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 </w:t>
            </w:r>
          </w:p>
        </w:tc>
      </w:tr>
      <w:tr w:rsidR="00F12305" w:rsidRPr="00F12305" w14:paraId="111A45D6" w14:textId="77777777" w:rsidTr="00F12305">
        <w:trPr>
          <w:trHeight w:val="300"/>
          <w:jc w:val="center"/>
        </w:trPr>
        <w:tc>
          <w:tcPr>
            <w:tcW w:w="3260" w:type="dxa"/>
            <w:tcBorders>
              <w:top w:val="nil"/>
              <w:left w:val="single" w:sz="8" w:space="0" w:color="auto"/>
              <w:bottom w:val="single" w:sz="8" w:space="0" w:color="auto"/>
              <w:right w:val="nil"/>
            </w:tcBorders>
            <w:shd w:val="clear" w:color="000000" w:fill="BFBFBF"/>
            <w:noWrap/>
            <w:vAlign w:val="center"/>
            <w:hideMark/>
          </w:tcPr>
          <w:p w14:paraId="298A17E9" w14:textId="77777777" w:rsidR="00F12305" w:rsidRPr="00F12305" w:rsidRDefault="00F12305" w:rsidP="00F12305">
            <w:pPr>
              <w:keepNext/>
              <w:keepLines/>
              <w:widowControl/>
              <w:autoSpaceDE/>
              <w:autoSpaceDN/>
              <w:adjustRightInd/>
              <w:rPr>
                <w:b/>
                <w:bCs/>
                <w:color w:val="000000"/>
                <w:sz w:val="22"/>
                <w:szCs w:val="22"/>
              </w:rPr>
            </w:pPr>
            <w:r w:rsidRPr="00F12305">
              <w:rPr>
                <w:b/>
                <w:bCs/>
                <w:color w:val="000000"/>
                <w:sz w:val="22"/>
                <w:szCs w:val="22"/>
              </w:rPr>
              <w:t>TOTALS</w:t>
            </w:r>
          </w:p>
        </w:tc>
        <w:tc>
          <w:tcPr>
            <w:tcW w:w="1304" w:type="dxa"/>
            <w:tcBorders>
              <w:top w:val="nil"/>
              <w:left w:val="single" w:sz="4" w:space="0" w:color="auto"/>
              <w:bottom w:val="single" w:sz="8" w:space="0" w:color="auto"/>
              <w:right w:val="single" w:sz="4" w:space="0" w:color="auto"/>
            </w:tcBorders>
            <w:shd w:val="clear" w:color="000000" w:fill="BFBFBF"/>
            <w:noWrap/>
            <w:vAlign w:val="center"/>
            <w:hideMark/>
          </w:tcPr>
          <w:p w14:paraId="31C4076F"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818</w:t>
            </w:r>
          </w:p>
        </w:tc>
        <w:tc>
          <w:tcPr>
            <w:tcW w:w="1060" w:type="dxa"/>
            <w:tcBorders>
              <w:top w:val="nil"/>
              <w:left w:val="nil"/>
              <w:bottom w:val="single" w:sz="8" w:space="0" w:color="auto"/>
              <w:right w:val="single" w:sz="4" w:space="0" w:color="auto"/>
            </w:tcBorders>
            <w:shd w:val="clear" w:color="000000" w:fill="BFBFBF"/>
            <w:noWrap/>
            <w:vAlign w:val="center"/>
            <w:hideMark/>
          </w:tcPr>
          <w:p w14:paraId="485DF33B"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220</w:t>
            </w:r>
          </w:p>
        </w:tc>
        <w:tc>
          <w:tcPr>
            <w:tcW w:w="1349" w:type="dxa"/>
            <w:tcBorders>
              <w:top w:val="nil"/>
              <w:left w:val="nil"/>
              <w:bottom w:val="single" w:sz="8" w:space="0" w:color="auto"/>
              <w:right w:val="single" w:sz="4" w:space="0" w:color="auto"/>
            </w:tcBorders>
            <w:shd w:val="clear" w:color="000000" w:fill="BFBFBF"/>
            <w:noWrap/>
            <w:vAlign w:val="center"/>
            <w:hideMark/>
          </w:tcPr>
          <w:p w14:paraId="57490A54" w14:textId="77777777" w:rsidR="00F12305" w:rsidRPr="00F12305" w:rsidRDefault="00F12305" w:rsidP="00F12305">
            <w:pPr>
              <w:keepNext/>
              <w:keepLines/>
              <w:widowControl/>
              <w:autoSpaceDE/>
              <w:autoSpaceDN/>
              <w:adjustRightInd/>
              <w:ind w:firstLine="660"/>
              <w:rPr>
                <w:color w:val="000000"/>
                <w:sz w:val="22"/>
                <w:szCs w:val="22"/>
              </w:rPr>
            </w:pPr>
            <w:r w:rsidRPr="00F12305">
              <w:rPr>
                <w:color w:val="000000"/>
                <w:sz w:val="22"/>
                <w:szCs w:val="22"/>
              </w:rPr>
              <w:t>27%</w:t>
            </w:r>
          </w:p>
        </w:tc>
        <w:tc>
          <w:tcPr>
            <w:tcW w:w="1600" w:type="dxa"/>
            <w:tcBorders>
              <w:top w:val="nil"/>
              <w:left w:val="nil"/>
              <w:bottom w:val="single" w:sz="8" w:space="0" w:color="auto"/>
              <w:right w:val="single" w:sz="4" w:space="0" w:color="auto"/>
            </w:tcBorders>
            <w:shd w:val="clear" w:color="000000" w:fill="BFBFBF"/>
            <w:noWrap/>
            <w:vAlign w:val="center"/>
            <w:hideMark/>
          </w:tcPr>
          <w:p w14:paraId="281E27F0"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 xml:space="preserve"> $31,808.62 </w:t>
            </w:r>
          </w:p>
        </w:tc>
        <w:tc>
          <w:tcPr>
            <w:tcW w:w="1560" w:type="dxa"/>
            <w:tcBorders>
              <w:top w:val="nil"/>
              <w:left w:val="nil"/>
              <w:bottom w:val="single" w:sz="8" w:space="0" w:color="auto"/>
              <w:right w:val="single" w:sz="8" w:space="0" w:color="auto"/>
            </w:tcBorders>
            <w:shd w:val="clear" w:color="000000" w:fill="BFBFBF"/>
            <w:noWrap/>
            <w:vAlign w:val="center"/>
            <w:hideMark/>
          </w:tcPr>
          <w:p w14:paraId="27EED97D" w14:textId="77777777" w:rsidR="00F12305" w:rsidRPr="00F12305" w:rsidRDefault="00F12305" w:rsidP="00F12305">
            <w:pPr>
              <w:keepNext/>
              <w:keepLines/>
              <w:widowControl/>
              <w:autoSpaceDE/>
              <w:autoSpaceDN/>
              <w:adjustRightInd/>
              <w:jc w:val="right"/>
              <w:rPr>
                <w:color w:val="000000"/>
                <w:sz w:val="22"/>
                <w:szCs w:val="22"/>
              </w:rPr>
            </w:pPr>
            <w:r w:rsidRPr="00F12305">
              <w:rPr>
                <w:color w:val="000000"/>
                <w:sz w:val="22"/>
                <w:szCs w:val="22"/>
              </w:rPr>
              <w:t xml:space="preserve"> $144.58 </w:t>
            </w:r>
          </w:p>
        </w:tc>
      </w:tr>
    </w:tbl>
    <w:p w14:paraId="37F5E9C6" w14:textId="77777777" w:rsidR="00C02017" w:rsidRDefault="00C02017" w:rsidP="00DE1172">
      <w:pPr>
        <w:spacing w:line="480" w:lineRule="auto"/>
        <w:ind w:left="720" w:hanging="720"/>
        <w:jc w:val="center"/>
      </w:pPr>
    </w:p>
    <w:p w14:paraId="70163242" w14:textId="77777777" w:rsidR="00B70932" w:rsidRDefault="00B70932" w:rsidP="00B70932">
      <w:pPr>
        <w:spacing w:line="480" w:lineRule="auto"/>
        <w:ind w:left="720" w:hanging="720"/>
        <w:rPr>
          <w:b/>
        </w:rPr>
      </w:pPr>
      <w:r>
        <w:rPr>
          <w:b/>
        </w:rPr>
        <w:t>Q:</w:t>
      </w:r>
      <w:r>
        <w:rPr>
          <w:b/>
        </w:rPr>
        <w:tab/>
        <w:t>What do you infer from</w:t>
      </w:r>
      <w:r w:rsidR="00A93FF2">
        <w:rPr>
          <w:b/>
        </w:rPr>
        <w:t xml:space="preserve"> Supplier</w:t>
      </w:r>
      <w:r>
        <w:rPr>
          <w:b/>
        </w:rPr>
        <w:t>s’ seemingly varying practices regarding customer credits?</w:t>
      </w:r>
    </w:p>
    <w:p w14:paraId="1E930C4F" w14:textId="77777777" w:rsidR="00B70932" w:rsidRDefault="00B70932" w:rsidP="00B70932">
      <w:pPr>
        <w:spacing w:line="480" w:lineRule="auto"/>
        <w:ind w:left="720" w:hanging="720"/>
        <w:rPr>
          <w:b/>
        </w:rPr>
      </w:pPr>
      <w:r>
        <w:t>A:</w:t>
      </w:r>
      <w:r>
        <w:tab/>
        <w:t>The fact that one</w:t>
      </w:r>
      <w:r w:rsidR="00A93FF2">
        <w:t xml:space="preserve"> Supplier</w:t>
      </w:r>
      <w:r>
        <w:t xml:space="preserve"> gives credits </w:t>
      </w:r>
      <w:r w:rsidR="00D04424">
        <w:t xml:space="preserve">while </w:t>
      </w:r>
      <w:r>
        <w:t>another</w:t>
      </w:r>
      <w:r w:rsidR="00A93FF2">
        <w:t xml:space="preserve"> Supplier</w:t>
      </w:r>
      <w:r>
        <w:t xml:space="preserve"> does not </w:t>
      </w:r>
      <w:r w:rsidR="00D04424">
        <w:t xml:space="preserve">give a credit does not </w:t>
      </w:r>
      <w:r>
        <w:t>necessarily mean that the first is “more culpable”</w:t>
      </w:r>
      <w:r w:rsidR="00C747EB">
        <w:t xml:space="preserve"> </w:t>
      </w:r>
      <w:r>
        <w:t xml:space="preserve">(because it has been compelled to give credits) nor does it necessarily mean that its business practices are superior (because it has voluntarily given credits). </w:t>
      </w:r>
      <w:r w:rsidR="004319B1">
        <w:t xml:space="preserve"> W</w:t>
      </w:r>
      <w:r w:rsidR="008B6DBC">
        <w:t xml:space="preserve">e </w:t>
      </w:r>
      <w:r>
        <w:t xml:space="preserve">do not draw any </w:t>
      </w:r>
      <w:r w:rsidR="00C747EB">
        <w:t>specific</w:t>
      </w:r>
      <w:r>
        <w:t xml:space="preserve"> conclusions based on the data in </w:t>
      </w:r>
      <w:r w:rsidR="004319B1">
        <w:t xml:space="preserve">Table </w:t>
      </w:r>
      <w:r w:rsidR="00BB64FF">
        <w:t>8</w:t>
      </w:r>
      <w:r>
        <w:t>, above</w:t>
      </w:r>
      <w:r w:rsidR="00D04424">
        <w:t>; rather the data is useful</w:t>
      </w:r>
      <w:r w:rsidR="00C747EB">
        <w:t xml:space="preserve"> </w:t>
      </w:r>
      <w:r w:rsidR="00D04424">
        <w:t xml:space="preserve">to </w:t>
      </w:r>
      <w:r w:rsidR="00C747EB">
        <w:t>add some dimension to PURA’s understanding of the variances in industry practices</w:t>
      </w:r>
      <w:r>
        <w:t xml:space="preserve">. </w:t>
      </w:r>
    </w:p>
    <w:p w14:paraId="0A4BEFC5" w14:textId="77777777" w:rsidR="00157C92" w:rsidRDefault="00157C92" w:rsidP="00157C92">
      <w:pPr>
        <w:spacing w:line="480" w:lineRule="auto"/>
        <w:ind w:left="720" w:hanging="720"/>
        <w:rPr>
          <w:b/>
        </w:rPr>
      </w:pPr>
      <w:r>
        <w:rPr>
          <w:b/>
        </w:rPr>
        <w:t>Q:</w:t>
      </w:r>
      <w:r>
        <w:rPr>
          <w:b/>
        </w:rPr>
        <w:tab/>
        <w:t>Are you aware of any regulatory guidelines for credits?</w:t>
      </w:r>
    </w:p>
    <w:p w14:paraId="1E3A0D78" w14:textId="77777777" w:rsidR="00157C92" w:rsidRDefault="00157C92" w:rsidP="00157C92">
      <w:pPr>
        <w:spacing w:line="480" w:lineRule="auto"/>
        <w:ind w:left="720" w:hanging="720"/>
      </w:pPr>
      <w:r>
        <w:t>A:</w:t>
      </w:r>
      <w:r>
        <w:tab/>
        <w:t>No.</w:t>
      </w:r>
    </w:p>
    <w:p w14:paraId="34237136" w14:textId="77777777" w:rsidR="00157C92" w:rsidRDefault="00EA6ED2" w:rsidP="00157C92">
      <w:pPr>
        <w:spacing w:line="480" w:lineRule="auto"/>
        <w:ind w:left="720" w:hanging="720"/>
        <w:rPr>
          <w:b/>
        </w:rPr>
      </w:pPr>
      <w:r>
        <w:rPr>
          <w:b/>
        </w:rPr>
        <w:t>Q:</w:t>
      </w:r>
      <w:r>
        <w:rPr>
          <w:b/>
        </w:rPr>
        <w:tab/>
      </w:r>
      <w:r w:rsidR="002F2E9F">
        <w:rPr>
          <w:b/>
        </w:rPr>
        <w:t>Do the credits S</w:t>
      </w:r>
      <w:r>
        <w:rPr>
          <w:b/>
        </w:rPr>
        <w:t xml:space="preserve">uppliers gave to customers who complained show a pattern that suggests the existence of </w:t>
      </w:r>
      <w:r w:rsidR="00157C92">
        <w:rPr>
          <w:b/>
        </w:rPr>
        <w:t xml:space="preserve">policies or procedures </w:t>
      </w:r>
      <w:r w:rsidR="00C31E12">
        <w:rPr>
          <w:b/>
        </w:rPr>
        <w:t>for determining</w:t>
      </w:r>
      <w:r w:rsidR="00157C92">
        <w:rPr>
          <w:b/>
        </w:rPr>
        <w:t xml:space="preserve"> whether to give a credit and, if so, </w:t>
      </w:r>
      <w:r>
        <w:rPr>
          <w:b/>
        </w:rPr>
        <w:t xml:space="preserve">in what </w:t>
      </w:r>
      <w:r w:rsidR="00157C92">
        <w:rPr>
          <w:b/>
        </w:rPr>
        <w:t>amount?</w:t>
      </w:r>
    </w:p>
    <w:p w14:paraId="4EBAFC6F" w14:textId="77777777" w:rsidR="00CD2F5B" w:rsidRDefault="00C31E12" w:rsidP="00157C92">
      <w:pPr>
        <w:spacing w:line="480" w:lineRule="auto"/>
        <w:ind w:left="720" w:hanging="720"/>
      </w:pPr>
      <w:r>
        <w:t>A:</w:t>
      </w:r>
      <w:r>
        <w:tab/>
        <w:t xml:space="preserve">No.  </w:t>
      </w:r>
      <w:r w:rsidR="00CD2F5B">
        <w:t xml:space="preserve">As shown in Table </w:t>
      </w:r>
      <w:r w:rsidR="00BB64FF">
        <w:t>8</w:t>
      </w:r>
      <w:r w:rsidR="00CD2F5B">
        <w:t>, t</w:t>
      </w:r>
      <w:r>
        <w:t xml:space="preserve">here </w:t>
      </w:r>
      <w:r w:rsidR="00BB64FF">
        <w:t xml:space="preserve">is </w:t>
      </w:r>
      <w:r>
        <w:t>no consistent pattern to these credits</w:t>
      </w:r>
      <w:r w:rsidR="00632BED">
        <w:t xml:space="preserve"> within or among</w:t>
      </w:r>
      <w:r w:rsidR="00A93FF2">
        <w:t xml:space="preserve"> Supplier</w:t>
      </w:r>
      <w:r w:rsidR="00632BED">
        <w:t>s</w:t>
      </w:r>
      <w:r>
        <w:t xml:space="preserve">.  </w:t>
      </w:r>
    </w:p>
    <w:p w14:paraId="767303AA" w14:textId="77777777" w:rsidR="00CD2F5B" w:rsidRPr="0061774F" w:rsidRDefault="00CD2F5B" w:rsidP="00157C92">
      <w:pPr>
        <w:spacing w:line="480" w:lineRule="auto"/>
        <w:ind w:left="720" w:hanging="720"/>
        <w:rPr>
          <w:b/>
        </w:rPr>
      </w:pPr>
      <w:r w:rsidRPr="0061774F">
        <w:rPr>
          <w:b/>
        </w:rPr>
        <w:t>Q:</w:t>
      </w:r>
      <w:r w:rsidRPr="0061774F">
        <w:rPr>
          <w:b/>
        </w:rPr>
        <w:tab/>
        <w:t>Are customer-specific credits enough to redress the harm consumers are identifying through their complaints?</w:t>
      </w:r>
    </w:p>
    <w:p w14:paraId="35608CB1" w14:textId="77777777" w:rsidR="00157C92" w:rsidRDefault="00CD2F5B" w:rsidP="00CD2F5B">
      <w:pPr>
        <w:spacing w:line="480" w:lineRule="auto"/>
        <w:ind w:left="720" w:hanging="720"/>
      </w:pPr>
      <w:r>
        <w:t>A:</w:t>
      </w:r>
      <w:r>
        <w:tab/>
        <w:t>Most likely not.  E</w:t>
      </w:r>
      <w:r w:rsidR="002F2E9F">
        <w:t>ven when a S</w:t>
      </w:r>
      <w:r w:rsidR="00632BED">
        <w:t>upplier has given relatively more credits than some other</w:t>
      </w:r>
      <w:r w:rsidR="00A93FF2">
        <w:t xml:space="preserve"> Supplier</w:t>
      </w:r>
      <w:r w:rsidR="00632BED">
        <w:t>s</w:t>
      </w:r>
      <w:r w:rsidR="002D6F40">
        <w:t>, this does not mean that it has fully r</w:t>
      </w:r>
      <w:r w:rsidR="002F2E9F">
        <w:t xml:space="preserve">edressed the harm to consumers.  </w:t>
      </w:r>
      <w:r w:rsidR="00157C92">
        <w:t xml:space="preserve">Paying </w:t>
      </w:r>
      <w:r w:rsidR="002F2E9F">
        <w:t xml:space="preserve">off </w:t>
      </w:r>
      <w:r w:rsidR="00E47702">
        <w:t xml:space="preserve">the </w:t>
      </w:r>
      <w:r>
        <w:t xml:space="preserve">“squeaky wheels” generates some goodwill, but it </w:t>
      </w:r>
      <w:r w:rsidR="00157C92">
        <w:t xml:space="preserve">hardly </w:t>
      </w:r>
      <w:r>
        <w:t xml:space="preserve">puts a </w:t>
      </w:r>
      <w:r w:rsidR="00157C92">
        <w:t>dent</w:t>
      </w:r>
      <w:r>
        <w:t xml:space="preserve"> in</w:t>
      </w:r>
      <w:r w:rsidR="00157C92">
        <w:t xml:space="preserve"> the profits that </w:t>
      </w:r>
      <w:r w:rsidR="002F2E9F">
        <w:t>S</w:t>
      </w:r>
      <w:r w:rsidR="00E47702">
        <w:t>uppliers earn</w:t>
      </w:r>
      <w:r w:rsidR="00157C92">
        <w:t xml:space="preserve"> from the rest of </w:t>
      </w:r>
      <w:r w:rsidR="00E47702">
        <w:t xml:space="preserve">their </w:t>
      </w:r>
      <w:r w:rsidR="00157C92">
        <w:t xml:space="preserve">customers who may not take the time to complain. </w:t>
      </w:r>
    </w:p>
    <w:p w14:paraId="5402268F" w14:textId="77777777" w:rsidR="00C02017" w:rsidRPr="00571176" w:rsidRDefault="00C02017" w:rsidP="00157C92">
      <w:pPr>
        <w:spacing w:line="480" w:lineRule="auto"/>
        <w:ind w:left="720" w:hanging="720"/>
      </w:pPr>
    </w:p>
    <w:p w14:paraId="718E27FE" w14:textId="77777777" w:rsidR="00134435" w:rsidRDefault="002F14DD" w:rsidP="00E5193F">
      <w:pPr>
        <w:spacing w:line="480" w:lineRule="auto"/>
        <w:ind w:left="720"/>
      </w:pPr>
      <w:r>
        <w:t>There is an implicit form of price discrimination occurring</w:t>
      </w:r>
      <w:r w:rsidR="00134435">
        <w:t>:</w:t>
      </w:r>
      <w:r>
        <w:t xml:space="preserve"> those who notice the high rates a</w:t>
      </w:r>
      <w:r w:rsidR="002A556D">
        <w:t xml:space="preserve">nd </w:t>
      </w:r>
      <w:r w:rsidR="00292D14">
        <w:t>complain</w:t>
      </w:r>
      <w:r>
        <w:t xml:space="preserve"> may get a r</w:t>
      </w:r>
      <w:r w:rsidR="002F2E9F">
        <w:t>efund, or, at a minimum</w:t>
      </w:r>
      <w:r w:rsidR="00A129F9">
        <w:t>,</w:t>
      </w:r>
      <w:r w:rsidR="002F2E9F">
        <w:t xml:space="preserve"> change S</w:t>
      </w:r>
      <w:r>
        <w:t>uppliers</w:t>
      </w:r>
      <w:r w:rsidR="00134435">
        <w:t xml:space="preserve">, while </w:t>
      </w:r>
      <w:r>
        <w:t>those w</w:t>
      </w:r>
      <w:r w:rsidR="00A129F9">
        <w:t xml:space="preserve">ho respond less quickly to changes in price </w:t>
      </w:r>
      <w:r>
        <w:t xml:space="preserve">or who do not track their bills </w:t>
      </w:r>
      <w:r w:rsidR="00134435">
        <w:t xml:space="preserve">continue to </w:t>
      </w:r>
      <w:r>
        <w:t xml:space="preserve">pay high rates.  </w:t>
      </w:r>
    </w:p>
    <w:p w14:paraId="75A138A0" w14:textId="77777777" w:rsidR="00B70932" w:rsidRPr="00B70932" w:rsidRDefault="00B70932" w:rsidP="00A129F9">
      <w:pPr>
        <w:spacing w:line="480" w:lineRule="auto"/>
        <w:ind w:left="720" w:hanging="720"/>
        <w:rPr>
          <w:b/>
        </w:rPr>
      </w:pPr>
      <w:r>
        <w:rPr>
          <w:b/>
        </w:rPr>
        <w:t>Q:</w:t>
      </w:r>
      <w:r>
        <w:rPr>
          <w:b/>
        </w:rPr>
        <w:tab/>
        <w:t xml:space="preserve">Other than credits, how else do </w:t>
      </w:r>
      <w:r w:rsidR="009048A4">
        <w:rPr>
          <w:b/>
        </w:rPr>
        <w:t xml:space="preserve">Suppliers </w:t>
      </w:r>
      <w:r>
        <w:rPr>
          <w:b/>
        </w:rPr>
        <w:t>respond to consumer complaints?</w:t>
      </w:r>
    </w:p>
    <w:p w14:paraId="45064DFB" w14:textId="77777777" w:rsidR="00B70932" w:rsidRPr="002F2E09" w:rsidRDefault="00B70932" w:rsidP="00B70932">
      <w:pPr>
        <w:spacing w:line="480" w:lineRule="auto"/>
        <w:ind w:left="720" w:hanging="720"/>
      </w:pPr>
      <w:r>
        <w:t>A:</w:t>
      </w:r>
      <w:r>
        <w:tab/>
        <w:t xml:space="preserve">As described </w:t>
      </w:r>
      <w:r w:rsidR="00952B2F">
        <w:t>i</w:t>
      </w:r>
      <w:r>
        <w:t>n the intake form, t</w:t>
      </w:r>
      <w:r w:rsidRPr="002F2E09">
        <w:t>he resolution of consumer complaints, when it does not involve a credit, could include the following:</w:t>
      </w:r>
    </w:p>
    <w:p w14:paraId="1DEA79C4" w14:textId="77777777" w:rsidR="00B70932" w:rsidRDefault="00B70932" w:rsidP="009B3D66">
      <w:pPr>
        <w:pStyle w:val="ColorfulShading-Accent31"/>
        <w:numPr>
          <w:ilvl w:val="0"/>
          <w:numId w:val="37"/>
        </w:numPr>
        <w:ind w:left="1440"/>
        <w:rPr>
          <w:rFonts w:ascii="Times New Roman" w:hAnsi="Times New Roman"/>
          <w:sz w:val="24"/>
          <w:szCs w:val="24"/>
        </w:rPr>
      </w:pPr>
      <w:r w:rsidRPr="002F2E09">
        <w:rPr>
          <w:rFonts w:ascii="Times New Roman" w:hAnsi="Times New Roman"/>
          <w:sz w:val="24"/>
          <w:szCs w:val="24"/>
        </w:rPr>
        <w:t xml:space="preserve">Supplier agrees to put </w:t>
      </w:r>
      <w:r>
        <w:rPr>
          <w:rFonts w:ascii="Times New Roman" w:hAnsi="Times New Roman"/>
          <w:sz w:val="24"/>
          <w:szCs w:val="24"/>
        </w:rPr>
        <w:t xml:space="preserve">the </w:t>
      </w:r>
      <w:r w:rsidRPr="002F2E09">
        <w:rPr>
          <w:rFonts w:ascii="Times New Roman" w:hAnsi="Times New Roman"/>
          <w:sz w:val="24"/>
          <w:szCs w:val="24"/>
        </w:rPr>
        <w:t xml:space="preserve">consumer on </w:t>
      </w:r>
      <w:r w:rsidR="00952B2F">
        <w:rPr>
          <w:rFonts w:ascii="Times New Roman" w:hAnsi="Times New Roman"/>
          <w:sz w:val="24"/>
          <w:szCs w:val="24"/>
        </w:rPr>
        <w:t xml:space="preserve">the </w:t>
      </w:r>
      <w:r w:rsidRPr="002F2E09">
        <w:rPr>
          <w:rFonts w:ascii="Times New Roman" w:hAnsi="Times New Roman"/>
          <w:sz w:val="24"/>
          <w:szCs w:val="24"/>
        </w:rPr>
        <w:t>do-not-call list.</w:t>
      </w:r>
    </w:p>
    <w:p w14:paraId="474E170A" w14:textId="77777777" w:rsidR="000B2473" w:rsidRPr="002F2E09" w:rsidRDefault="000B2473" w:rsidP="009B3D66">
      <w:pPr>
        <w:pStyle w:val="ColorfulShading-Accent31"/>
        <w:numPr>
          <w:ilvl w:val="0"/>
          <w:numId w:val="37"/>
        </w:numPr>
        <w:ind w:left="1440"/>
        <w:rPr>
          <w:rFonts w:ascii="Times New Roman" w:hAnsi="Times New Roman"/>
          <w:sz w:val="24"/>
          <w:szCs w:val="24"/>
        </w:rPr>
      </w:pPr>
      <w:r>
        <w:rPr>
          <w:rFonts w:ascii="Times New Roman" w:hAnsi="Times New Roman"/>
          <w:sz w:val="24"/>
          <w:szCs w:val="24"/>
        </w:rPr>
        <w:t>Supplier insists that the customer knowingly signed a contract for variable rates.</w:t>
      </w:r>
    </w:p>
    <w:p w14:paraId="19D6B560" w14:textId="77777777" w:rsidR="00B70932" w:rsidRPr="002F2E09" w:rsidRDefault="00B70932" w:rsidP="009B3D66">
      <w:pPr>
        <w:pStyle w:val="ColorfulShading-Accent31"/>
        <w:numPr>
          <w:ilvl w:val="0"/>
          <w:numId w:val="37"/>
        </w:numPr>
        <w:ind w:left="1440"/>
        <w:rPr>
          <w:rFonts w:ascii="Times New Roman" w:hAnsi="Times New Roman"/>
          <w:sz w:val="24"/>
          <w:szCs w:val="24"/>
        </w:rPr>
      </w:pPr>
      <w:r w:rsidRPr="002F2E09">
        <w:rPr>
          <w:rFonts w:ascii="Times New Roman" w:hAnsi="Times New Roman"/>
          <w:sz w:val="24"/>
          <w:szCs w:val="24"/>
        </w:rPr>
        <w:t>Supplier agrees to train/educate its sales representative</w:t>
      </w:r>
      <w:r w:rsidR="00952B2F">
        <w:rPr>
          <w:rFonts w:ascii="Times New Roman" w:hAnsi="Times New Roman"/>
          <w:sz w:val="24"/>
          <w:szCs w:val="24"/>
        </w:rPr>
        <w:t>.</w:t>
      </w:r>
    </w:p>
    <w:p w14:paraId="5CF8D613" w14:textId="77777777" w:rsidR="00B70932" w:rsidRDefault="00B70932" w:rsidP="009B3D66">
      <w:pPr>
        <w:pStyle w:val="ColorfulShading-Accent31"/>
        <w:numPr>
          <w:ilvl w:val="0"/>
          <w:numId w:val="37"/>
        </w:numPr>
        <w:ind w:left="1440"/>
        <w:rPr>
          <w:rFonts w:ascii="Times New Roman" w:hAnsi="Times New Roman"/>
          <w:sz w:val="24"/>
          <w:szCs w:val="24"/>
        </w:rPr>
      </w:pPr>
      <w:r>
        <w:rPr>
          <w:rFonts w:ascii="Times New Roman" w:hAnsi="Times New Roman"/>
          <w:sz w:val="24"/>
          <w:szCs w:val="24"/>
        </w:rPr>
        <w:t>Supplier apologizes.</w:t>
      </w:r>
    </w:p>
    <w:p w14:paraId="51398B91" w14:textId="77777777" w:rsidR="00B70932" w:rsidRDefault="00B70932" w:rsidP="009B3D66">
      <w:pPr>
        <w:pStyle w:val="ColorfulShading-Accent31"/>
        <w:numPr>
          <w:ilvl w:val="0"/>
          <w:numId w:val="37"/>
        </w:numPr>
        <w:ind w:left="1440"/>
        <w:rPr>
          <w:rFonts w:ascii="Times New Roman" w:hAnsi="Times New Roman"/>
          <w:sz w:val="24"/>
          <w:szCs w:val="24"/>
        </w:rPr>
      </w:pPr>
      <w:r w:rsidRPr="000141AC">
        <w:rPr>
          <w:rFonts w:ascii="Times New Roman" w:hAnsi="Times New Roman"/>
          <w:sz w:val="24"/>
          <w:szCs w:val="24"/>
        </w:rPr>
        <w:t>Supplier provides an explanation such as:</w:t>
      </w:r>
      <w:r>
        <w:rPr>
          <w:rFonts w:ascii="Times New Roman" w:hAnsi="Times New Roman"/>
          <w:sz w:val="24"/>
          <w:szCs w:val="24"/>
        </w:rPr>
        <w:t xml:space="preserve"> </w:t>
      </w:r>
      <w:r w:rsidR="00C747EB">
        <w:rPr>
          <w:rFonts w:ascii="Times New Roman" w:hAnsi="Times New Roman"/>
          <w:sz w:val="24"/>
          <w:szCs w:val="24"/>
        </w:rPr>
        <w:t>the</w:t>
      </w:r>
      <w:r>
        <w:rPr>
          <w:rFonts w:ascii="Times New Roman" w:hAnsi="Times New Roman"/>
          <w:sz w:val="24"/>
          <w:szCs w:val="24"/>
        </w:rPr>
        <w:t xml:space="preserve"> complaint was “not properly filed in our pending case list and was overlooked….did not process properly within our EDI system.”</w:t>
      </w:r>
      <w:r>
        <w:rPr>
          <w:rStyle w:val="FootnoteReference"/>
          <w:szCs w:val="24"/>
        </w:rPr>
        <w:footnoteReference w:id="35"/>
      </w:r>
    </w:p>
    <w:p w14:paraId="27AC0C66" w14:textId="77777777" w:rsidR="00C216BD" w:rsidRDefault="00C216BD" w:rsidP="009B3D66">
      <w:pPr>
        <w:pStyle w:val="ColorfulShading-Accent31"/>
        <w:numPr>
          <w:ilvl w:val="0"/>
          <w:numId w:val="37"/>
        </w:numPr>
        <w:ind w:left="1440"/>
        <w:rPr>
          <w:rFonts w:ascii="Times New Roman" w:hAnsi="Times New Roman"/>
          <w:sz w:val="24"/>
          <w:szCs w:val="24"/>
        </w:rPr>
      </w:pPr>
      <w:r>
        <w:rPr>
          <w:rFonts w:ascii="Times New Roman" w:hAnsi="Times New Roman"/>
          <w:sz w:val="24"/>
          <w:szCs w:val="24"/>
        </w:rPr>
        <w:t>There was a computer glitch.</w:t>
      </w:r>
    </w:p>
    <w:p w14:paraId="0E646CEA" w14:textId="77777777" w:rsidR="00B70932" w:rsidRDefault="00B70932" w:rsidP="009B3D66">
      <w:pPr>
        <w:pStyle w:val="ColorfulShading-Accent31"/>
        <w:numPr>
          <w:ilvl w:val="0"/>
          <w:numId w:val="37"/>
        </w:numPr>
        <w:ind w:left="1440"/>
        <w:rPr>
          <w:rFonts w:ascii="Times New Roman" w:hAnsi="Times New Roman"/>
          <w:sz w:val="24"/>
          <w:szCs w:val="24"/>
        </w:rPr>
      </w:pPr>
      <w:r>
        <w:rPr>
          <w:rFonts w:ascii="Times New Roman" w:hAnsi="Times New Roman"/>
          <w:sz w:val="24"/>
          <w:szCs w:val="24"/>
        </w:rPr>
        <w:t>Supplier provides an explanation such as: the sales representative used an old sales script in error.</w:t>
      </w:r>
      <w:r>
        <w:rPr>
          <w:rStyle w:val="FootnoteReference"/>
          <w:szCs w:val="24"/>
        </w:rPr>
        <w:footnoteReference w:id="36"/>
      </w:r>
    </w:p>
    <w:p w14:paraId="3DB307E7" w14:textId="77777777" w:rsidR="007C7883" w:rsidRDefault="007C7883" w:rsidP="00134435">
      <w:pPr>
        <w:spacing w:line="480" w:lineRule="auto"/>
        <w:ind w:left="720" w:hanging="720"/>
        <w:rPr>
          <w:b/>
        </w:rPr>
      </w:pPr>
      <w:r>
        <w:rPr>
          <w:b/>
        </w:rPr>
        <w:t>Q:</w:t>
      </w:r>
      <w:r>
        <w:rPr>
          <w:b/>
        </w:rPr>
        <w:tab/>
        <w:t xml:space="preserve">Please summarize your findings based on your review of </w:t>
      </w:r>
      <w:r w:rsidR="00686A56">
        <w:rPr>
          <w:b/>
        </w:rPr>
        <w:t xml:space="preserve">818 </w:t>
      </w:r>
      <w:r>
        <w:rPr>
          <w:b/>
        </w:rPr>
        <w:t xml:space="preserve">residential complaints filed between </w:t>
      </w:r>
      <w:r w:rsidR="00952B2F">
        <w:rPr>
          <w:b/>
        </w:rPr>
        <w:t xml:space="preserve">approximately </w:t>
      </w:r>
      <w:r>
        <w:rPr>
          <w:b/>
        </w:rPr>
        <w:t xml:space="preserve">January and September 2013 regarding </w:t>
      </w:r>
      <w:r w:rsidR="003D4F03">
        <w:rPr>
          <w:b/>
        </w:rPr>
        <w:t>the sales and marketing practices of</w:t>
      </w:r>
      <w:r w:rsidR="00A93FF2">
        <w:rPr>
          <w:b/>
        </w:rPr>
        <w:t xml:space="preserve"> Supplier</w:t>
      </w:r>
      <w:r>
        <w:rPr>
          <w:b/>
        </w:rPr>
        <w:t xml:space="preserve">s </w:t>
      </w:r>
      <w:r w:rsidR="003D4F03">
        <w:rPr>
          <w:b/>
        </w:rPr>
        <w:t>that serve</w:t>
      </w:r>
      <w:r>
        <w:rPr>
          <w:b/>
        </w:rPr>
        <w:t xml:space="preserve"> Connecticut’s </w:t>
      </w:r>
      <w:r w:rsidR="003D4F03">
        <w:rPr>
          <w:b/>
        </w:rPr>
        <w:t xml:space="preserve">residential </w:t>
      </w:r>
      <w:r>
        <w:rPr>
          <w:b/>
        </w:rPr>
        <w:t>consumers.</w:t>
      </w:r>
    </w:p>
    <w:p w14:paraId="1842F9EB" w14:textId="77777777" w:rsidR="00B916E5" w:rsidRDefault="007C7883" w:rsidP="00A92737">
      <w:pPr>
        <w:spacing w:line="480" w:lineRule="auto"/>
        <w:ind w:left="720" w:hanging="720"/>
      </w:pPr>
      <w:r>
        <w:t>A:</w:t>
      </w:r>
      <w:r>
        <w:tab/>
        <w:t xml:space="preserve">Complaints are originating throughout the state and generally concern rate levels, </w:t>
      </w:r>
      <w:r w:rsidR="00A92737">
        <w:t>m</w:t>
      </w:r>
      <w:r>
        <w:t xml:space="preserve">isleading advertising and communication from sales representatives, </w:t>
      </w:r>
      <w:r w:rsidR="009F0655">
        <w:t>and</w:t>
      </w:r>
      <w:r w:rsidR="00B95039">
        <w:t xml:space="preserve"> </w:t>
      </w:r>
      <w:r>
        <w:t>an inability to reach the</w:t>
      </w:r>
      <w:r w:rsidR="00A93FF2">
        <w:t xml:space="preserve"> Supplier</w:t>
      </w:r>
      <w:r>
        <w:t xml:space="preserve"> with questions or to seek cancellation.  There seem to be instances of</w:t>
      </w:r>
      <w:r w:rsidR="00A93FF2">
        <w:t xml:space="preserve"> Supplier</w:t>
      </w:r>
      <w:r>
        <w:t xml:space="preserve">s implying or asserting that they represent the EDCs, or asserting that customers </w:t>
      </w:r>
      <w:r>
        <w:rPr>
          <w:i/>
        </w:rPr>
        <w:t xml:space="preserve">must </w:t>
      </w:r>
      <w:r>
        <w:t xml:space="preserve">switch.  </w:t>
      </w:r>
      <w:r w:rsidR="009F0655">
        <w:t>T</w:t>
      </w:r>
      <w:r>
        <w:t xml:space="preserve">he consumers who complain </w:t>
      </w:r>
      <w:r w:rsidR="009F0655">
        <w:t>include</w:t>
      </w:r>
      <w:r>
        <w:t xml:space="preserve"> the </w:t>
      </w:r>
      <w:r w:rsidR="00E54ADF">
        <w:t>Senior</w:t>
      </w:r>
      <w:r>
        <w:t xml:space="preserve"> and ESL households.</w:t>
      </w:r>
      <w:r w:rsidR="00A93FF2">
        <w:t xml:space="preserve"> Supplier</w:t>
      </w:r>
      <w:r>
        <w:t xml:space="preserve">s are providing credits and “running interference” </w:t>
      </w:r>
      <w:r w:rsidR="003D4F03">
        <w:t xml:space="preserve">only </w:t>
      </w:r>
      <w:r>
        <w:t>for those consumers who take the time to call PURA.</w:t>
      </w:r>
      <w:r w:rsidR="003D4F03">
        <w:t xml:space="preserve">  The vast majority of consumers do not receive credits or relief.</w:t>
      </w:r>
    </w:p>
    <w:p w14:paraId="5C7A6D68" w14:textId="77777777" w:rsidR="00B916E5" w:rsidRDefault="00B916E5" w:rsidP="00A65C76">
      <w:pPr>
        <w:spacing w:line="480" w:lineRule="auto"/>
        <w:ind w:left="720" w:hanging="720"/>
      </w:pPr>
      <w:r>
        <w:rPr>
          <w:b/>
        </w:rPr>
        <w:t>Q:</w:t>
      </w:r>
      <w:r>
        <w:rPr>
          <w:b/>
        </w:rPr>
        <w:tab/>
        <w:t>Based on your findings, do you have any recommendations for PURA?</w:t>
      </w:r>
    </w:p>
    <w:p w14:paraId="5FC42218" w14:textId="77777777" w:rsidR="00B916E5" w:rsidRDefault="00B916E5" w:rsidP="00A65C76">
      <w:pPr>
        <w:spacing w:line="480" w:lineRule="auto"/>
        <w:ind w:left="720" w:hanging="720"/>
      </w:pPr>
      <w:r>
        <w:t>A:</w:t>
      </w:r>
      <w:r>
        <w:tab/>
        <w:t xml:space="preserve">Yes.  </w:t>
      </w:r>
      <w:r w:rsidR="002F2E9F">
        <w:t>For the reasons we</w:t>
      </w:r>
      <w:r w:rsidR="0061774F">
        <w:t xml:space="preserve"> discuss throughout </w:t>
      </w:r>
      <w:r w:rsidR="00AD6779">
        <w:t xml:space="preserve">our </w:t>
      </w:r>
      <w:r w:rsidR="0061774F">
        <w:t xml:space="preserve">testimony, including </w:t>
      </w:r>
      <w:r w:rsidR="00AD6779">
        <w:t xml:space="preserve">our </w:t>
      </w:r>
      <w:r w:rsidR="0061774F">
        <w:t>a</w:t>
      </w:r>
      <w:r w:rsidR="002F2E9F">
        <w:t>nalysis of consumer complaints, we</w:t>
      </w:r>
      <w:r>
        <w:t xml:space="preserve"> recommend that</w:t>
      </w:r>
      <w:r w:rsidR="0061774F">
        <w:t xml:space="preserve"> </w:t>
      </w:r>
      <w:r>
        <w:t>PURA adopt remedies</w:t>
      </w:r>
      <w:r w:rsidR="0061774F">
        <w:t>, pursue more effective enforcement of existing regulations and continue consumer education</w:t>
      </w:r>
      <w:r>
        <w:t xml:space="preserve">.  </w:t>
      </w:r>
      <w:r w:rsidR="002F2E9F">
        <w:t>We</w:t>
      </w:r>
      <w:r>
        <w:t xml:space="preserve"> describe </w:t>
      </w:r>
      <w:r w:rsidR="00AD6779">
        <w:t xml:space="preserve">our </w:t>
      </w:r>
      <w:r>
        <w:t>proposed remedies in Section V</w:t>
      </w:r>
      <w:r w:rsidR="009F0655">
        <w:t>I</w:t>
      </w:r>
      <w:r>
        <w:t xml:space="preserve"> below. </w:t>
      </w:r>
    </w:p>
    <w:p w14:paraId="025CE178" w14:textId="77777777" w:rsidR="0009426F" w:rsidRPr="0009426F" w:rsidRDefault="0009426F" w:rsidP="0009426F">
      <w:pPr>
        <w:spacing w:line="480" w:lineRule="auto"/>
        <w:ind w:left="720" w:hanging="720"/>
        <w:outlineLvl w:val="1"/>
        <w:rPr>
          <w:b/>
        </w:rPr>
      </w:pPr>
      <w:bookmarkStart w:id="38" w:name="_Toc382029127"/>
      <w:r>
        <w:rPr>
          <w:b/>
        </w:rPr>
        <w:t>Supplier responses to OCC interrogatories</w:t>
      </w:r>
      <w:bookmarkEnd w:id="38"/>
    </w:p>
    <w:p w14:paraId="4042578A" w14:textId="77777777" w:rsidR="00584413" w:rsidRDefault="00584413" w:rsidP="00B70932">
      <w:pPr>
        <w:spacing w:line="480" w:lineRule="auto"/>
        <w:ind w:left="720" w:hanging="720"/>
        <w:rPr>
          <w:b/>
        </w:rPr>
      </w:pPr>
      <w:r>
        <w:rPr>
          <w:b/>
        </w:rPr>
        <w:t>Q:</w:t>
      </w:r>
      <w:r>
        <w:rPr>
          <w:b/>
        </w:rPr>
        <w:tab/>
        <w:t>How many</w:t>
      </w:r>
      <w:r w:rsidR="00A93FF2">
        <w:rPr>
          <w:b/>
        </w:rPr>
        <w:t xml:space="preserve"> Supplier</w:t>
      </w:r>
      <w:r>
        <w:rPr>
          <w:b/>
        </w:rPr>
        <w:t>s responded to the OCC’s Second Set of Interrogatories?</w:t>
      </w:r>
    </w:p>
    <w:p w14:paraId="4C2523A6" w14:textId="77777777" w:rsidR="00584413" w:rsidRPr="000871D6" w:rsidRDefault="00584413" w:rsidP="00B70932">
      <w:pPr>
        <w:spacing w:line="480" w:lineRule="auto"/>
        <w:ind w:left="720" w:hanging="720"/>
      </w:pPr>
      <w:r w:rsidRPr="000871D6">
        <w:t>A</w:t>
      </w:r>
      <w:r>
        <w:t>:</w:t>
      </w:r>
      <w:r w:rsidRPr="000871D6">
        <w:t xml:space="preserve">  </w:t>
      </w:r>
      <w:r w:rsidRPr="000871D6">
        <w:tab/>
      </w:r>
      <w:r w:rsidR="00B44A42">
        <w:t xml:space="preserve">More than three dozen </w:t>
      </w:r>
      <w:r w:rsidR="002F2E9F">
        <w:t>S</w:t>
      </w:r>
      <w:r w:rsidRPr="000871D6">
        <w:t xml:space="preserve">uppliers filed responses, including several that simply indicated that they were not yet serving customers and thus did not have responses to provide to the OCC’s questions. </w:t>
      </w:r>
      <w:r>
        <w:t xml:space="preserve"> </w:t>
      </w:r>
      <w:r w:rsidR="00C62AED">
        <w:t>Collectively t</w:t>
      </w:r>
      <w:r>
        <w:t>heir responses were voluminous</w:t>
      </w:r>
      <w:r w:rsidR="00E47702">
        <w:t>, as anticipated</w:t>
      </w:r>
      <w:r>
        <w:t>.</w:t>
      </w:r>
    </w:p>
    <w:p w14:paraId="47D571F8" w14:textId="77777777" w:rsidR="00584413" w:rsidRPr="003E193B" w:rsidRDefault="00584413" w:rsidP="00A005B7">
      <w:pPr>
        <w:spacing w:line="480" w:lineRule="auto"/>
        <w:ind w:left="720" w:hanging="720"/>
        <w:rPr>
          <w:b/>
        </w:rPr>
      </w:pPr>
      <w:r w:rsidRPr="003E193B">
        <w:rPr>
          <w:b/>
        </w:rPr>
        <w:t>Q:</w:t>
      </w:r>
      <w:r w:rsidRPr="003E193B">
        <w:rPr>
          <w:b/>
        </w:rPr>
        <w:tab/>
        <w:t>Di</w:t>
      </w:r>
      <w:r w:rsidR="002F2E9F">
        <w:rPr>
          <w:b/>
        </w:rPr>
        <w:t>d a substantial portion of the S</w:t>
      </w:r>
      <w:r w:rsidRPr="003E193B">
        <w:rPr>
          <w:b/>
        </w:rPr>
        <w:t>uppliers assert claims of confidentiality with respect to their answers, and, if so, how did this affect your ability to review their responses?</w:t>
      </w:r>
    </w:p>
    <w:p w14:paraId="628208B0" w14:textId="77777777" w:rsidR="00584413" w:rsidRDefault="00584413" w:rsidP="0061774F">
      <w:pPr>
        <w:spacing w:line="480" w:lineRule="auto"/>
      </w:pPr>
      <w:r>
        <w:t>A:</w:t>
      </w:r>
      <w:r>
        <w:tab/>
        <w:t xml:space="preserve">Yes.  It greatly delayed consultants’ access to these responses.  </w:t>
      </w:r>
    </w:p>
    <w:p w14:paraId="319440B9" w14:textId="77777777" w:rsidR="00584413" w:rsidRPr="003E193B" w:rsidRDefault="00584413" w:rsidP="0091244C">
      <w:pPr>
        <w:spacing w:line="480" w:lineRule="auto"/>
        <w:ind w:left="720" w:hanging="720"/>
        <w:rPr>
          <w:b/>
        </w:rPr>
      </w:pPr>
      <w:r w:rsidRPr="003E193B">
        <w:rPr>
          <w:b/>
        </w:rPr>
        <w:t>Q:</w:t>
      </w:r>
      <w:r w:rsidRPr="003E193B">
        <w:rPr>
          <w:b/>
        </w:rPr>
        <w:tab/>
        <w:t>What are y</w:t>
      </w:r>
      <w:r w:rsidR="00442480">
        <w:rPr>
          <w:b/>
        </w:rPr>
        <w:t>our overall impressions of the S</w:t>
      </w:r>
      <w:r w:rsidRPr="003E193B">
        <w:rPr>
          <w:b/>
        </w:rPr>
        <w:t>upplier responses?</w:t>
      </w:r>
    </w:p>
    <w:p w14:paraId="1F83CB8E" w14:textId="77777777" w:rsidR="00584413" w:rsidRDefault="00584413" w:rsidP="0091244C">
      <w:pPr>
        <w:spacing w:line="480" w:lineRule="auto"/>
        <w:ind w:left="720" w:hanging="720"/>
      </w:pPr>
      <w:r>
        <w:t>A:</w:t>
      </w:r>
      <w:r>
        <w:tab/>
        <w:t>There is</w:t>
      </w:r>
      <w:r w:rsidR="009F3945">
        <w:t xml:space="preserve"> </w:t>
      </w:r>
      <w:r>
        <w:t>n</w:t>
      </w:r>
      <w:r w:rsidR="009F3945">
        <w:t>o</w:t>
      </w:r>
      <w:r>
        <w:t xml:space="preserve">t always </w:t>
      </w:r>
      <w:r w:rsidR="00442480">
        <w:t xml:space="preserve">a </w:t>
      </w:r>
      <w:r>
        <w:t>straightforwar</w:t>
      </w:r>
      <w:r w:rsidR="00442480">
        <w:t>d correlation between what the S</w:t>
      </w:r>
      <w:r>
        <w:t xml:space="preserve">uppliers claim they are telling customers and what customers later claim has gone wrong in their dealings with </w:t>
      </w:r>
      <w:r w:rsidR="00442480">
        <w:t>S</w:t>
      </w:r>
      <w:r>
        <w:t>uppliers.  In other words, it is difficult to pinpoint from the official scripts or training materials any specific language that might encourage employees or third-party marketers to employ false or misleading claims</w:t>
      </w:r>
      <w:r w:rsidR="008255DD">
        <w:t>,</w:t>
      </w:r>
      <w:r>
        <w:t xml:space="preserve"> to harass customers</w:t>
      </w:r>
      <w:r w:rsidR="008255DD">
        <w:t>,</w:t>
      </w:r>
      <w:r>
        <w:t xml:space="preserve"> or to interfere with a customer’s desire to terminate service.  However, it is clear that </w:t>
      </w:r>
      <w:r w:rsidR="00BC3209">
        <w:t>some S</w:t>
      </w:r>
      <w:r>
        <w:t>uppliers or their agents are either encouraging or condoning this behavior, or else it would</w:t>
      </w:r>
      <w:r w:rsidR="008255DD">
        <w:t xml:space="preserve"> </w:t>
      </w:r>
      <w:r>
        <w:t>n</w:t>
      </w:r>
      <w:r w:rsidR="008255DD">
        <w:t>o</w:t>
      </w:r>
      <w:r>
        <w:t xml:space="preserve">t be occurring.  </w:t>
      </w:r>
    </w:p>
    <w:p w14:paraId="1E24D1F7" w14:textId="77777777" w:rsidR="00584413" w:rsidRPr="003E193B" w:rsidRDefault="00584413" w:rsidP="0091244C">
      <w:pPr>
        <w:spacing w:line="480" w:lineRule="auto"/>
        <w:ind w:left="720" w:hanging="720"/>
        <w:rPr>
          <w:b/>
        </w:rPr>
      </w:pPr>
      <w:r w:rsidRPr="003E193B">
        <w:rPr>
          <w:b/>
        </w:rPr>
        <w:t xml:space="preserve">Q:  </w:t>
      </w:r>
      <w:r w:rsidR="00A005B7">
        <w:rPr>
          <w:b/>
        </w:rPr>
        <w:tab/>
      </w:r>
      <w:r w:rsidR="00BC3209">
        <w:rPr>
          <w:b/>
        </w:rPr>
        <w:t>Looking in particular at the S</w:t>
      </w:r>
      <w:r w:rsidRPr="003E193B">
        <w:rPr>
          <w:b/>
        </w:rPr>
        <w:t xml:space="preserve">uppliers </w:t>
      </w:r>
      <w:r>
        <w:rPr>
          <w:b/>
        </w:rPr>
        <w:t xml:space="preserve">that </w:t>
      </w:r>
      <w:r w:rsidRPr="003E193B">
        <w:rPr>
          <w:b/>
        </w:rPr>
        <w:t>drew the largest number of customer complaints, did you observe any patterns?</w:t>
      </w:r>
    </w:p>
    <w:p w14:paraId="0597C03C" w14:textId="77777777" w:rsidR="00C92E65" w:rsidRDefault="00BC3209" w:rsidP="0091244C">
      <w:pPr>
        <w:spacing w:line="480" w:lineRule="auto"/>
        <w:ind w:left="720" w:hanging="720"/>
      </w:pPr>
      <w:r>
        <w:t>A:</w:t>
      </w:r>
      <w:r>
        <w:tab/>
        <w:t>Yes.  Of the five S</w:t>
      </w:r>
      <w:r w:rsidR="00584413">
        <w:t>uppliers that drew the largest number of customer complaints, four relied on door-to-door sales.</w:t>
      </w:r>
      <w:r w:rsidR="00584413">
        <w:rPr>
          <w:rStyle w:val="FootnoteReference"/>
        </w:rPr>
        <w:footnoteReference w:id="37"/>
      </w:r>
      <w:r w:rsidR="00584413">
        <w:t xml:space="preserve">  Door-to-door salespersons can bring to bear more immediate pressure on the potential customer than more remote forms of contact, and they are less easily monitored by a supervisor to ensure complianc</w:t>
      </w:r>
      <w:r>
        <w:t>e with whatever guidelines the S</w:t>
      </w:r>
      <w:r w:rsidR="00584413">
        <w:t xml:space="preserve">upplier or third-party telemarketer may purport to maintain.   </w:t>
      </w:r>
    </w:p>
    <w:p w14:paraId="29B6668F" w14:textId="77777777" w:rsidR="007B0080" w:rsidRPr="003E193B" w:rsidRDefault="007B0080" w:rsidP="0091244C">
      <w:pPr>
        <w:spacing w:line="480" w:lineRule="auto"/>
        <w:ind w:left="720" w:hanging="720"/>
        <w:rPr>
          <w:b/>
        </w:rPr>
      </w:pPr>
      <w:r w:rsidRPr="003E193B">
        <w:rPr>
          <w:b/>
        </w:rPr>
        <w:t>Q:</w:t>
      </w:r>
      <w:r w:rsidRPr="003E193B">
        <w:rPr>
          <w:b/>
        </w:rPr>
        <w:tab/>
      </w:r>
      <w:r>
        <w:rPr>
          <w:b/>
        </w:rPr>
        <w:t xml:space="preserve">Is </w:t>
      </w:r>
      <w:r w:rsidRPr="003E193B">
        <w:rPr>
          <w:b/>
        </w:rPr>
        <w:t xml:space="preserve">there anything else that stands out </w:t>
      </w:r>
      <w:r w:rsidR="00786194">
        <w:rPr>
          <w:b/>
        </w:rPr>
        <w:t>with respect to this subset of S</w:t>
      </w:r>
      <w:r w:rsidRPr="003E193B">
        <w:rPr>
          <w:b/>
        </w:rPr>
        <w:t>uppliers?</w:t>
      </w:r>
    </w:p>
    <w:p w14:paraId="55894E98" w14:textId="77777777" w:rsidR="00A92737" w:rsidRDefault="00786194" w:rsidP="00B70932">
      <w:pPr>
        <w:spacing w:line="480" w:lineRule="auto"/>
        <w:ind w:left="720" w:hanging="720"/>
      </w:pPr>
      <w:r>
        <w:t>A:</w:t>
      </w:r>
      <w:r>
        <w:tab/>
        <w:t>Each of the top four S</w:t>
      </w:r>
      <w:r w:rsidR="007B0080">
        <w:t xml:space="preserve">uppliers, ranked by complaints to PURA, was subject </w:t>
      </w:r>
      <w:r w:rsidR="002508C5">
        <w:t xml:space="preserve">to </w:t>
      </w:r>
      <w:r w:rsidR="007B0080">
        <w:t xml:space="preserve">investigation in </w:t>
      </w:r>
      <w:r w:rsidR="00EF0A1E">
        <w:t>at least one othe</w:t>
      </w:r>
      <w:r w:rsidR="007B0080">
        <w:t>r jurisdiction (as well</w:t>
      </w:r>
      <w:r w:rsidR="003E4708">
        <w:t xml:space="preserve"> as</w:t>
      </w:r>
      <w:r w:rsidR="007B0080">
        <w:t xml:space="preserve"> in additional Connecticut proceedings</w:t>
      </w:r>
      <w:r w:rsidR="003E4708">
        <w:t>,</w:t>
      </w:r>
      <w:r w:rsidR="003E4708" w:rsidRPr="003E4708">
        <w:t xml:space="preserve"> </w:t>
      </w:r>
      <w:r w:rsidR="003E4708">
        <w:t>in some cases</w:t>
      </w:r>
      <w:r w:rsidR="007B0080">
        <w:t>) regarding their sales and marketing practices.</w:t>
      </w:r>
      <w:r w:rsidR="00E56028">
        <w:rPr>
          <w:rStyle w:val="FootnoteReference"/>
        </w:rPr>
        <w:footnoteReference w:id="38"/>
      </w:r>
      <w:r>
        <w:t xml:space="preserve">  </w:t>
      </w:r>
      <w:r w:rsidR="007B0080">
        <w:t xml:space="preserve">Regardless of whether these proceedings ended in a commission order or were resolved by settlement, the resolutions typically included mandates to change certain practices and some monetary payment (which took various forms).  </w:t>
      </w:r>
    </w:p>
    <w:p w14:paraId="0F990479" w14:textId="77777777" w:rsidR="007B0080" w:rsidRDefault="00103969" w:rsidP="00B70932">
      <w:pPr>
        <w:spacing w:line="480" w:lineRule="auto"/>
        <w:ind w:left="720" w:hanging="720"/>
        <w:rPr>
          <w:b/>
        </w:rPr>
      </w:pPr>
      <w:r>
        <w:rPr>
          <w:b/>
        </w:rPr>
        <w:t>Q:</w:t>
      </w:r>
      <w:r>
        <w:rPr>
          <w:b/>
        </w:rPr>
        <w:tab/>
        <w:t>Was there any reference to the use of door-to-door sales in the consumer complaints that you reviewed?</w:t>
      </w:r>
    </w:p>
    <w:p w14:paraId="7C4D54F8" w14:textId="77777777" w:rsidR="008450C8" w:rsidRDefault="00103969" w:rsidP="008450C8">
      <w:pPr>
        <w:spacing w:line="480" w:lineRule="auto"/>
        <w:ind w:left="720" w:hanging="720"/>
      </w:pPr>
      <w:r>
        <w:t>A:</w:t>
      </w:r>
      <w:r>
        <w:tab/>
        <w:t xml:space="preserve">Yes.  </w:t>
      </w:r>
      <w:r w:rsidR="0061774F">
        <w:t>Some complaints specifically mention the use of door-to-door sales.</w:t>
      </w:r>
      <w:r w:rsidR="0061774F">
        <w:rPr>
          <w:rStyle w:val="FootnoteReference"/>
        </w:rPr>
        <w:footnoteReference w:id="39"/>
      </w:r>
      <w:r w:rsidR="0061774F">
        <w:t xml:space="preserve"> </w:t>
      </w:r>
      <w:r w:rsidR="00A650A7">
        <w:t xml:space="preserve"> </w:t>
      </w:r>
      <w:r w:rsidR="00663A2E">
        <w:t xml:space="preserve"> </w:t>
      </w:r>
      <w:r>
        <w:t>The lack of a specific reference to the use of door-to-door solicitation, however, does not mean the absence of such use</w:t>
      </w:r>
      <w:r w:rsidR="0061774F">
        <w:t xml:space="preserve"> – this simply may not have arisen in the conversation betwee</w:t>
      </w:r>
      <w:r w:rsidR="00A21688">
        <w:t>n the consumer and the PURA Sta</w:t>
      </w:r>
      <w:r w:rsidR="0061774F">
        <w:t>ff</w:t>
      </w:r>
      <w:r>
        <w:t>.  Therefore</w:t>
      </w:r>
      <w:r w:rsidR="00C15275">
        <w:t>,</w:t>
      </w:r>
      <w:r w:rsidR="008B6DBC">
        <w:t xml:space="preserve"> we </w:t>
      </w:r>
      <w:r w:rsidR="00C15275">
        <w:t xml:space="preserve">suspect that </w:t>
      </w:r>
      <w:r w:rsidR="00AD6779">
        <w:t xml:space="preserve">our </w:t>
      </w:r>
      <w:r>
        <w:t xml:space="preserve">tally understates the total quantity of complaints that are linked to sales that originated with door-to-door sales.  With that major caveat, Table </w:t>
      </w:r>
      <w:r w:rsidR="001C43F9">
        <w:t>9</w:t>
      </w:r>
      <w:r>
        <w:t xml:space="preserve"> below includes those s</w:t>
      </w:r>
      <w:r w:rsidR="002508C5">
        <w:t>even</w:t>
      </w:r>
      <w:r w:rsidR="00A93FF2">
        <w:t xml:space="preserve"> Supplier</w:t>
      </w:r>
      <w:r>
        <w:t>s for which door-to-door sales w</w:t>
      </w:r>
      <w:r w:rsidR="002508C5">
        <w:t>ere</w:t>
      </w:r>
      <w:r>
        <w:t xml:space="preserve"> mentioned on the PURA </w:t>
      </w:r>
      <w:r w:rsidR="00D61181">
        <w:t>I</w:t>
      </w:r>
      <w:r>
        <w:t xml:space="preserve">ntake </w:t>
      </w:r>
      <w:r w:rsidR="00D61181">
        <w:t>F</w:t>
      </w:r>
      <w:r>
        <w:t>orm.</w:t>
      </w:r>
    </w:p>
    <w:p w14:paraId="3DC1A515" w14:textId="77777777" w:rsidR="00C25755" w:rsidRDefault="00C25755" w:rsidP="00884C8E">
      <w:pPr>
        <w:keepNext/>
        <w:keepLines/>
        <w:ind w:left="1440" w:hanging="720"/>
        <w:jc w:val="center"/>
        <w:rPr>
          <w:b/>
        </w:rPr>
      </w:pPr>
      <w:r>
        <w:rPr>
          <w:b/>
        </w:rPr>
        <w:t xml:space="preserve">Table </w:t>
      </w:r>
      <w:r w:rsidR="001C43F9">
        <w:rPr>
          <w:b/>
        </w:rPr>
        <w:t>9</w:t>
      </w:r>
    </w:p>
    <w:p w14:paraId="48E6DB30" w14:textId="77777777" w:rsidR="00A005B7" w:rsidRDefault="00C25755" w:rsidP="00884C8E">
      <w:pPr>
        <w:keepNext/>
        <w:keepLines/>
        <w:ind w:left="1440" w:hanging="720"/>
        <w:jc w:val="center"/>
        <w:rPr>
          <w:b/>
        </w:rPr>
      </w:pPr>
      <w:r>
        <w:rPr>
          <w:b/>
        </w:rPr>
        <w:t xml:space="preserve">Suppliers </w:t>
      </w:r>
      <w:r w:rsidR="007B0080">
        <w:rPr>
          <w:b/>
        </w:rPr>
        <w:t>with Complaints Mentioning Use of Door-to-Door Sales</w:t>
      </w:r>
    </w:p>
    <w:p w14:paraId="5B73A1FE" w14:textId="77777777" w:rsidR="00884C8E" w:rsidRDefault="00884C8E" w:rsidP="00884C8E">
      <w:pPr>
        <w:keepNext/>
        <w:keepLines/>
        <w:ind w:left="1440" w:hanging="720"/>
        <w:jc w:val="center"/>
        <w:rPr>
          <w:b/>
        </w:rPr>
      </w:pPr>
    </w:p>
    <w:tbl>
      <w:tblPr>
        <w:tblW w:w="9120" w:type="dxa"/>
        <w:jc w:val="center"/>
        <w:tblLook w:val="04A0" w:firstRow="1" w:lastRow="0" w:firstColumn="1" w:lastColumn="0" w:noHBand="0" w:noVBand="1"/>
      </w:tblPr>
      <w:tblGrid>
        <w:gridCol w:w="4100"/>
        <w:gridCol w:w="1840"/>
        <w:gridCol w:w="1500"/>
        <w:gridCol w:w="1680"/>
      </w:tblGrid>
      <w:tr w:rsidR="000B0E71" w:rsidRPr="000B0E71" w14:paraId="0BDE7AAC" w14:textId="77777777" w:rsidTr="000B0E71">
        <w:trPr>
          <w:trHeight w:val="1080"/>
          <w:jc w:val="center"/>
        </w:trPr>
        <w:tc>
          <w:tcPr>
            <w:tcW w:w="4100" w:type="dxa"/>
            <w:tcBorders>
              <w:top w:val="nil"/>
              <w:left w:val="nil"/>
              <w:bottom w:val="nil"/>
              <w:right w:val="nil"/>
            </w:tcBorders>
            <w:shd w:val="clear" w:color="auto" w:fill="auto"/>
            <w:noWrap/>
            <w:vAlign w:val="center"/>
            <w:hideMark/>
          </w:tcPr>
          <w:p w14:paraId="7E1A7A24" w14:textId="77777777" w:rsidR="000B0E71" w:rsidRPr="000B0E71" w:rsidRDefault="000B0E71" w:rsidP="000B0E71">
            <w:pPr>
              <w:keepNext/>
              <w:keepLines/>
              <w:widowControl/>
              <w:autoSpaceDE/>
              <w:autoSpaceDN/>
              <w:adjustRightInd/>
              <w:jc w:val="center"/>
              <w:rPr>
                <w:color w:val="000000"/>
                <w:sz w:val="22"/>
                <w:szCs w:val="22"/>
              </w:rPr>
            </w:pPr>
          </w:p>
        </w:tc>
        <w:tc>
          <w:tcPr>
            <w:tcW w:w="1840" w:type="dxa"/>
            <w:tcBorders>
              <w:top w:val="nil"/>
              <w:left w:val="nil"/>
              <w:bottom w:val="nil"/>
              <w:right w:val="nil"/>
            </w:tcBorders>
            <w:shd w:val="clear" w:color="auto" w:fill="auto"/>
            <w:vAlign w:val="center"/>
            <w:hideMark/>
          </w:tcPr>
          <w:p w14:paraId="58CCB45B" w14:textId="77777777" w:rsidR="000B0E71" w:rsidRPr="000B0E71" w:rsidRDefault="000B0E71" w:rsidP="000B0E71">
            <w:pPr>
              <w:keepNext/>
              <w:keepLines/>
              <w:widowControl/>
              <w:autoSpaceDE/>
              <w:autoSpaceDN/>
              <w:adjustRightInd/>
              <w:jc w:val="center"/>
              <w:rPr>
                <w:color w:val="000000"/>
                <w:sz w:val="22"/>
                <w:szCs w:val="22"/>
              </w:rPr>
            </w:pPr>
          </w:p>
        </w:tc>
        <w:tc>
          <w:tcPr>
            <w:tcW w:w="31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2FFBDF" w14:textId="77777777" w:rsidR="000B0E71" w:rsidRPr="000B0E71" w:rsidRDefault="000B0E71" w:rsidP="000B0E71">
            <w:pPr>
              <w:keepNext/>
              <w:keepLines/>
              <w:widowControl/>
              <w:autoSpaceDE/>
              <w:autoSpaceDN/>
              <w:adjustRightInd/>
              <w:jc w:val="center"/>
              <w:rPr>
                <w:b/>
                <w:bCs/>
                <w:color w:val="000000"/>
                <w:sz w:val="22"/>
                <w:szCs w:val="22"/>
              </w:rPr>
            </w:pPr>
            <w:r w:rsidRPr="000B0E71">
              <w:rPr>
                <w:b/>
                <w:bCs/>
                <w:color w:val="000000"/>
                <w:sz w:val="22"/>
                <w:szCs w:val="22"/>
              </w:rPr>
              <w:t>Complaints Associated With Sales That</w:t>
            </w:r>
            <w:r>
              <w:rPr>
                <w:b/>
                <w:bCs/>
                <w:color w:val="000000"/>
                <w:sz w:val="22"/>
                <w:szCs w:val="22"/>
              </w:rPr>
              <w:t xml:space="preserve"> </w:t>
            </w:r>
            <w:r w:rsidR="00C82A81">
              <w:rPr>
                <w:b/>
                <w:bCs/>
                <w:color w:val="000000"/>
                <w:sz w:val="22"/>
                <w:szCs w:val="22"/>
              </w:rPr>
              <w:t xml:space="preserve">Clearly </w:t>
            </w:r>
            <w:r>
              <w:rPr>
                <w:b/>
                <w:bCs/>
                <w:color w:val="000000"/>
                <w:sz w:val="22"/>
                <w:szCs w:val="22"/>
              </w:rPr>
              <w:t>Originated With Door-to-Door S</w:t>
            </w:r>
            <w:r w:rsidRPr="000B0E71">
              <w:rPr>
                <w:b/>
                <w:bCs/>
                <w:color w:val="000000"/>
                <w:sz w:val="22"/>
                <w:szCs w:val="22"/>
              </w:rPr>
              <w:t>olicitation</w:t>
            </w:r>
          </w:p>
        </w:tc>
      </w:tr>
      <w:tr w:rsidR="000B0E71" w:rsidRPr="000B0E71" w14:paraId="0BE71651" w14:textId="77777777" w:rsidTr="000B0E71">
        <w:trPr>
          <w:trHeight w:val="640"/>
          <w:jc w:val="center"/>
        </w:trPr>
        <w:tc>
          <w:tcPr>
            <w:tcW w:w="4100" w:type="dxa"/>
            <w:tcBorders>
              <w:top w:val="single" w:sz="4" w:space="0" w:color="auto"/>
              <w:left w:val="single" w:sz="4" w:space="0" w:color="auto"/>
              <w:bottom w:val="single" w:sz="4" w:space="0" w:color="auto"/>
              <w:right w:val="nil"/>
            </w:tcBorders>
            <w:shd w:val="clear" w:color="000000" w:fill="FFFFFF"/>
            <w:noWrap/>
            <w:vAlign w:val="center"/>
            <w:hideMark/>
          </w:tcPr>
          <w:p w14:paraId="7114D819" w14:textId="77777777" w:rsidR="000B0E71" w:rsidRPr="000B0E71" w:rsidRDefault="000B0E71" w:rsidP="000B0E71">
            <w:pPr>
              <w:keepNext/>
              <w:keepLines/>
              <w:widowControl/>
              <w:autoSpaceDE/>
              <w:autoSpaceDN/>
              <w:adjustRightInd/>
              <w:jc w:val="center"/>
              <w:rPr>
                <w:b/>
                <w:bCs/>
                <w:sz w:val="22"/>
                <w:szCs w:val="22"/>
              </w:rPr>
            </w:pPr>
            <w:r w:rsidRPr="000B0E71">
              <w:rPr>
                <w:b/>
                <w:bCs/>
                <w:sz w:val="22"/>
                <w:szCs w:val="22"/>
              </w:rPr>
              <w:t>Supplier</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31917" w14:textId="77777777" w:rsidR="000B0E71" w:rsidRPr="000B0E71" w:rsidRDefault="000B0E71" w:rsidP="000B0E71">
            <w:pPr>
              <w:keepNext/>
              <w:keepLines/>
              <w:widowControl/>
              <w:autoSpaceDE/>
              <w:autoSpaceDN/>
              <w:adjustRightInd/>
              <w:jc w:val="center"/>
              <w:rPr>
                <w:b/>
                <w:bCs/>
                <w:sz w:val="22"/>
                <w:szCs w:val="22"/>
              </w:rPr>
            </w:pPr>
            <w:r w:rsidRPr="000B0E71">
              <w:rPr>
                <w:b/>
                <w:bCs/>
                <w:sz w:val="22"/>
                <w:szCs w:val="22"/>
              </w:rPr>
              <w:t>Total Number of Complaints</w:t>
            </w:r>
          </w:p>
        </w:tc>
        <w:tc>
          <w:tcPr>
            <w:tcW w:w="1500" w:type="dxa"/>
            <w:tcBorders>
              <w:top w:val="nil"/>
              <w:left w:val="nil"/>
              <w:bottom w:val="single" w:sz="4" w:space="0" w:color="auto"/>
              <w:right w:val="single" w:sz="4" w:space="0" w:color="auto"/>
            </w:tcBorders>
            <w:shd w:val="clear" w:color="000000" w:fill="FFFFFF"/>
            <w:vAlign w:val="center"/>
            <w:hideMark/>
          </w:tcPr>
          <w:p w14:paraId="3CD6514F" w14:textId="77777777" w:rsidR="000B0E71" w:rsidRPr="000B0E71" w:rsidRDefault="000B0E71" w:rsidP="000B0E71">
            <w:pPr>
              <w:keepNext/>
              <w:keepLines/>
              <w:widowControl/>
              <w:autoSpaceDE/>
              <w:autoSpaceDN/>
              <w:adjustRightInd/>
              <w:jc w:val="center"/>
              <w:rPr>
                <w:b/>
                <w:bCs/>
                <w:sz w:val="22"/>
                <w:szCs w:val="22"/>
              </w:rPr>
            </w:pPr>
            <w:r w:rsidRPr="000B0E71">
              <w:rPr>
                <w:b/>
                <w:bCs/>
                <w:sz w:val="22"/>
                <w:szCs w:val="22"/>
              </w:rPr>
              <w:t>Quantity</w:t>
            </w:r>
          </w:p>
        </w:tc>
        <w:tc>
          <w:tcPr>
            <w:tcW w:w="1680" w:type="dxa"/>
            <w:tcBorders>
              <w:top w:val="nil"/>
              <w:left w:val="nil"/>
              <w:bottom w:val="single" w:sz="4" w:space="0" w:color="auto"/>
              <w:right w:val="single" w:sz="4" w:space="0" w:color="auto"/>
            </w:tcBorders>
            <w:shd w:val="clear" w:color="auto" w:fill="auto"/>
            <w:vAlign w:val="center"/>
            <w:hideMark/>
          </w:tcPr>
          <w:p w14:paraId="04FA2842" w14:textId="77777777" w:rsidR="000B0E71" w:rsidRPr="000B0E71" w:rsidRDefault="000B0E71" w:rsidP="000B0E71">
            <w:pPr>
              <w:keepNext/>
              <w:keepLines/>
              <w:widowControl/>
              <w:autoSpaceDE/>
              <w:autoSpaceDN/>
              <w:adjustRightInd/>
              <w:jc w:val="center"/>
              <w:rPr>
                <w:b/>
                <w:bCs/>
                <w:color w:val="000000"/>
                <w:sz w:val="22"/>
                <w:szCs w:val="22"/>
              </w:rPr>
            </w:pPr>
            <w:r w:rsidRPr="000B0E71">
              <w:rPr>
                <w:b/>
                <w:bCs/>
                <w:color w:val="000000"/>
                <w:sz w:val="22"/>
                <w:szCs w:val="22"/>
              </w:rPr>
              <w:t>As % of Total Complaints</w:t>
            </w:r>
          </w:p>
        </w:tc>
      </w:tr>
      <w:tr w:rsidR="000B0E71" w:rsidRPr="000B0E71" w14:paraId="718F20A0" w14:textId="77777777" w:rsidTr="000B0E71">
        <w:trPr>
          <w:trHeight w:val="360"/>
          <w:jc w:val="center"/>
        </w:trPr>
        <w:tc>
          <w:tcPr>
            <w:tcW w:w="4100" w:type="dxa"/>
            <w:tcBorders>
              <w:top w:val="nil"/>
              <w:left w:val="single" w:sz="4" w:space="0" w:color="auto"/>
              <w:bottom w:val="nil"/>
              <w:right w:val="nil"/>
            </w:tcBorders>
            <w:shd w:val="clear" w:color="000000" w:fill="D9D9D9"/>
            <w:noWrap/>
            <w:vAlign w:val="bottom"/>
            <w:hideMark/>
          </w:tcPr>
          <w:p w14:paraId="3B4FC697" w14:textId="77777777" w:rsidR="000B0E71" w:rsidRPr="000B0E71" w:rsidRDefault="000B0E71" w:rsidP="000B0E71">
            <w:pPr>
              <w:keepNext/>
              <w:keepLines/>
              <w:widowControl/>
              <w:autoSpaceDE/>
              <w:autoSpaceDN/>
              <w:adjustRightInd/>
              <w:ind w:firstLine="220"/>
              <w:rPr>
                <w:color w:val="000000"/>
                <w:sz w:val="22"/>
                <w:szCs w:val="22"/>
              </w:rPr>
            </w:pPr>
            <w:r w:rsidRPr="000B0E71">
              <w:rPr>
                <w:color w:val="000000"/>
                <w:sz w:val="22"/>
                <w:szCs w:val="22"/>
              </w:rPr>
              <w:t>Palmco Power</w:t>
            </w:r>
          </w:p>
        </w:tc>
        <w:tc>
          <w:tcPr>
            <w:tcW w:w="1840" w:type="dxa"/>
            <w:tcBorders>
              <w:top w:val="nil"/>
              <w:left w:val="single" w:sz="4" w:space="0" w:color="auto"/>
              <w:bottom w:val="nil"/>
              <w:right w:val="single" w:sz="4" w:space="0" w:color="auto"/>
            </w:tcBorders>
            <w:shd w:val="clear" w:color="000000" w:fill="D9D9D9"/>
            <w:noWrap/>
            <w:vAlign w:val="bottom"/>
            <w:hideMark/>
          </w:tcPr>
          <w:p w14:paraId="7E826C4A"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21</w:t>
            </w:r>
          </w:p>
        </w:tc>
        <w:tc>
          <w:tcPr>
            <w:tcW w:w="1500" w:type="dxa"/>
            <w:tcBorders>
              <w:top w:val="nil"/>
              <w:left w:val="nil"/>
              <w:bottom w:val="nil"/>
              <w:right w:val="single" w:sz="4" w:space="0" w:color="auto"/>
            </w:tcBorders>
            <w:shd w:val="clear" w:color="000000" w:fill="D9D9D9"/>
            <w:noWrap/>
            <w:vAlign w:val="bottom"/>
            <w:hideMark/>
          </w:tcPr>
          <w:p w14:paraId="6C814020"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9</w:t>
            </w:r>
          </w:p>
        </w:tc>
        <w:tc>
          <w:tcPr>
            <w:tcW w:w="1680" w:type="dxa"/>
            <w:tcBorders>
              <w:top w:val="nil"/>
              <w:left w:val="nil"/>
              <w:bottom w:val="nil"/>
              <w:right w:val="single" w:sz="4" w:space="0" w:color="auto"/>
            </w:tcBorders>
            <w:shd w:val="clear" w:color="000000" w:fill="D9D9D9"/>
            <w:noWrap/>
            <w:vAlign w:val="bottom"/>
            <w:hideMark/>
          </w:tcPr>
          <w:p w14:paraId="35860589"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43%</w:t>
            </w:r>
          </w:p>
        </w:tc>
      </w:tr>
      <w:tr w:rsidR="000B0E71" w:rsidRPr="000B0E71" w14:paraId="50DA4649" w14:textId="77777777" w:rsidTr="000B0E71">
        <w:trPr>
          <w:trHeight w:val="360"/>
          <w:jc w:val="center"/>
        </w:trPr>
        <w:tc>
          <w:tcPr>
            <w:tcW w:w="4100" w:type="dxa"/>
            <w:tcBorders>
              <w:top w:val="nil"/>
              <w:left w:val="single" w:sz="4" w:space="0" w:color="auto"/>
              <w:bottom w:val="nil"/>
              <w:right w:val="nil"/>
            </w:tcBorders>
            <w:shd w:val="clear" w:color="auto" w:fill="auto"/>
            <w:noWrap/>
            <w:vAlign w:val="bottom"/>
            <w:hideMark/>
          </w:tcPr>
          <w:p w14:paraId="1AE37B62" w14:textId="77777777" w:rsidR="000B0E71" w:rsidRPr="000B0E71" w:rsidRDefault="000B0E71" w:rsidP="000B0E71">
            <w:pPr>
              <w:keepNext/>
              <w:keepLines/>
              <w:widowControl/>
              <w:autoSpaceDE/>
              <w:autoSpaceDN/>
              <w:adjustRightInd/>
              <w:ind w:firstLine="220"/>
              <w:rPr>
                <w:color w:val="000000"/>
                <w:sz w:val="22"/>
                <w:szCs w:val="22"/>
              </w:rPr>
            </w:pPr>
            <w:r w:rsidRPr="000B0E71">
              <w:rPr>
                <w:color w:val="000000"/>
                <w:sz w:val="22"/>
                <w:szCs w:val="22"/>
              </w:rPr>
              <w:t>Direct Energy</w:t>
            </w:r>
          </w:p>
        </w:tc>
        <w:tc>
          <w:tcPr>
            <w:tcW w:w="1840" w:type="dxa"/>
            <w:tcBorders>
              <w:top w:val="nil"/>
              <w:left w:val="single" w:sz="4" w:space="0" w:color="auto"/>
              <w:bottom w:val="nil"/>
              <w:right w:val="single" w:sz="4" w:space="0" w:color="auto"/>
            </w:tcBorders>
            <w:shd w:val="clear" w:color="auto" w:fill="auto"/>
            <w:noWrap/>
            <w:vAlign w:val="bottom"/>
            <w:hideMark/>
          </w:tcPr>
          <w:p w14:paraId="24012FC0"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77</w:t>
            </w:r>
          </w:p>
        </w:tc>
        <w:tc>
          <w:tcPr>
            <w:tcW w:w="1500" w:type="dxa"/>
            <w:tcBorders>
              <w:top w:val="nil"/>
              <w:left w:val="nil"/>
              <w:bottom w:val="nil"/>
              <w:right w:val="single" w:sz="4" w:space="0" w:color="auto"/>
            </w:tcBorders>
            <w:shd w:val="clear" w:color="auto" w:fill="auto"/>
            <w:noWrap/>
            <w:vAlign w:val="bottom"/>
            <w:hideMark/>
          </w:tcPr>
          <w:p w14:paraId="5C91A7B9"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15</w:t>
            </w:r>
          </w:p>
        </w:tc>
        <w:tc>
          <w:tcPr>
            <w:tcW w:w="1680" w:type="dxa"/>
            <w:tcBorders>
              <w:top w:val="nil"/>
              <w:left w:val="nil"/>
              <w:bottom w:val="nil"/>
              <w:right w:val="single" w:sz="4" w:space="0" w:color="auto"/>
            </w:tcBorders>
            <w:shd w:val="clear" w:color="auto" w:fill="auto"/>
            <w:noWrap/>
            <w:vAlign w:val="bottom"/>
            <w:hideMark/>
          </w:tcPr>
          <w:p w14:paraId="5ADC4F47"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19%</w:t>
            </w:r>
          </w:p>
        </w:tc>
      </w:tr>
      <w:tr w:rsidR="000B0E71" w:rsidRPr="000B0E71" w14:paraId="5E9F7AF1" w14:textId="77777777" w:rsidTr="000B0E71">
        <w:trPr>
          <w:trHeight w:val="360"/>
          <w:jc w:val="center"/>
        </w:trPr>
        <w:tc>
          <w:tcPr>
            <w:tcW w:w="4100" w:type="dxa"/>
            <w:tcBorders>
              <w:top w:val="nil"/>
              <w:left w:val="single" w:sz="4" w:space="0" w:color="auto"/>
              <w:bottom w:val="nil"/>
              <w:right w:val="nil"/>
            </w:tcBorders>
            <w:shd w:val="clear" w:color="000000" w:fill="D9D9D9"/>
            <w:noWrap/>
            <w:vAlign w:val="bottom"/>
            <w:hideMark/>
          </w:tcPr>
          <w:p w14:paraId="60C74326" w14:textId="77777777" w:rsidR="000B0E71" w:rsidRPr="000B0E71" w:rsidRDefault="000B0E71" w:rsidP="000B0E71">
            <w:pPr>
              <w:keepNext/>
              <w:keepLines/>
              <w:widowControl/>
              <w:autoSpaceDE/>
              <w:autoSpaceDN/>
              <w:adjustRightInd/>
              <w:ind w:firstLine="220"/>
              <w:rPr>
                <w:color w:val="000000"/>
                <w:sz w:val="22"/>
                <w:szCs w:val="22"/>
              </w:rPr>
            </w:pPr>
            <w:r w:rsidRPr="000B0E71">
              <w:rPr>
                <w:color w:val="000000"/>
                <w:sz w:val="22"/>
                <w:szCs w:val="22"/>
              </w:rPr>
              <w:t>Starion</w:t>
            </w:r>
          </w:p>
        </w:tc>
        <w:tc>
          <w:tcPr>
            <w:tcW w:w="1840" w:type="dxa"/>
            <w:tcBorders>
              <w:top w:val="nil"/>
              <w:left w:val="single" w:sz="4" w:space="0" w:color="auto"/>
              <w:bottom w:val="nil"/>
              <w:right w:val="single" w:sz="4" w:space="0" w:color="auto"/>
            </w:tcBorders>
            <w:shd w:val="clear" w:color="000000" w:fill="D9D9D9"/>
            <w:noWrap/>
            <w:vAlign w:val="bottom"/>
            <w:hideMark/>
          </w:tcPr>
          <w:p w14:paraId="5767E078"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190</w:t>
            </w:r>
          </w:p>
        </w:tc>
        <w:tc>
          <w:tcPr>
            <w:tcW w:w="1500" w:type="dxa"/>
            <w:tcBorders>
              <w:top w:val="nil"/>
              <w:left w:val="nil"/>
              <w:bottom w:val="nil"/>
              <w:right w:val="single" w:sz="4" w:space="0" w:color="auto"/>
            </w:tcBorders>
            <w:shd w:val="clear" w:color="000000" w:fill="D9D9D9"/>
            <w:noWrap/>
            <w:vAlign w:val="bottom"/>
            <w:hideMark/>
          </w:tcPr>
          <w:p w14:paraId="471B495D"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25</w:t>
            </w:r>
          </w:p>
        </w:tc>
        <w:tc>
          <w:tcPr>
            <w:tcW w:w="1680" w:type="dxa"/>
            <w:tcBorders>
              <w:top w:val="nil"/>
              <w:left w:val="nil"/>
              <w:bottom w:val="nil"/>
              <w:right w:val="single" w:sz="4" w:space="0" w:color="auto"/>
            </w:tcBorders>
            <w:shd w:val="clear" w:color="000000" w:fill="D9D9D9"/>
            <w:noWrap/>
            <w:vAlign w:val="bottom"/>
            <w:hideMark/>
          </w:tcPr>
          <w:p w14:paraId="7CDA5298"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13%</w:t>
            </w:r>
          </w:p>
        </w:tc>
      </w:tr>
      <w:tr w:rsidR="000B0E71" w:rsidRPr="000B0E71" w14:paraId="1813556E" w14:textId="77777777" w:rsidTr="000B0E71">
        <w:trPr>
          <w:trHeight w:val="360"/>
          <w:jc w:val="center"/>
        </w:trPr>
        <w:tc>
          <w:tcPr>
            <w:tcW w:w="4100" w:type="dxa"/>
            <w:tcBorders>
              <w:top w:val="nil"/>
              <w:left w:val="single" w:sz="4" w:space="0" w:color="auto"/>
              <w:bottom w:val="nil"/>
              <w:right w:val="nil"/>
            </w:tcBorders>
            <w:shd w:val="clear" w:color="auto" w:fill="auto"/>
            <w:noWrap/>
            <w:vAlign w:val="bottom"/>
            <w:hideMark/>
          </w:tcPr>
          <w:p w14:paraId="273C54C8" w14:textId="77777777" w:rsidR="000B0E71" w:rsidRPr="000B0E71" w:rsidRDefault="000B0E71" w:rsidP="000B0E71">
            <w:pPr>
              <w:keepNext/>
              <w:keepLines/>
              <w:widowControl/>
              <w:autoSpaceDE/>
              <w:autoSpaceDN/>
              <w:adjustRightInd/>
              <w:ind w:firstLine="220"/>
              <w:rPr>
                <w:color w:val="000000"/>
                <w:sz w:val="22"/>
                <w:szCs w:val="22"/>
              </w:rPr>
            </w:pPr>
            <w:r w:rsidRPr="000B0E71">
              <w:rPr>
                <w:color w:val="000000"/>
                <w:sz w:val="22"/>
                <w:szCs w:val="22"/>
              </w:rPr>
              <w:t>Clearview</w:t>
            </w:r>
          </w:p>
        </w:tc>
        <w:tc>
          <w:tcPr>
            <w:tcW w:w="1840" w:type="dxa"/>
            <w:tcBorders>
              <w:top w:val="nil"/>
              <w:left w:val="single" w:sz="4" w:space="0" w:color="auto"/>
              <w:bottom w:val="nil"/>
              <w:right w:val="single" w:sz="4" w:space="0" w:color="auto"/>
            </w:tcBorders>
            <w:shd w:val="clear" w:color="auto" w:fill="auto"/>
            <w:noWrap/>
            <w:vAlign w:val="bottom"/>
            <w:hideMark/>
          </w:tcPr>
          <w:p w14:paraId="508D3F57"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41</w:t>
            </w:r>
          </w:p>
        </w:tc>
        <w:tc>
          <w:tcPr>
            <w:tcW w:w="1500" w:type="dxa"/>
            <w:tcBorders>
              <w:top w:val="nil"/>
              <w:left w:val="nil"/>
              <w:bottom w:val="nil"/>
              <w:right w:val="single" w:sz="4" w:space="0" w:color="auto"/>
            </w:tcBorders>
            <w:shd w:val="clear" w:color="auto" w:fill="auto"/>
            <w:noWrap/>
            <w:vAlign w:val="bottom"/>
            <w:hideMark/>
          </w:tcPr>
          <w:p w14:paraId="55C3DFC5"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5</w:t>
            </w:r>
          </w:p>
        </w:tc>
        <w:tc>
          <w:tcPr>
            <w:tcW w:w="1680" w:type="dxa"/>
            <w:tcBorders>
              <w:top w:val="nil"/>
              <w:left w:val="nil"/>
              <w:bottom w:val="nil"/>
              <w:right w:val="single" w:sz="4" w:space="0" w:color="auto"/>
            </w:tcBorders>
            <w:shd w:val="clear" w:color="auto" w:fill="auto"/>
            <w:noWrap/>
            <w:vAlign w:val="bottom"/>
            <w:hideMark/>
          </w:tcPr>
          <w:p w14:paraId="566C695F"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12%</w:t>
            </w:r>
          </w:p>
        </w:tc>
      </w:tr>
      <w:tr w:rsidR="000B0E71" w:rsidRPr="000B0E71" w14:paraId="62EEF2D7" w14:textId="77777777" w:rsidTr="000B0E71">
        <w:trPr>
          <w:trHeight w:val="360"/>
          <w:jc w:val="center"/>
        </w:trPr>
        <w:tc>
          <w:tcPr>
            <w:tcW w:w="4100" w:type="dxa"/>
            <w:tcBorders>
              <w:top w:val="nil"/>
              <w:left w:val="single" w:sz="4" w:space="0" w:color="auto"/>
              <w:bottom w:val="nil"/>
              <w:right w:val="nil"/>
            </w:tcBorders>
            <w:shd w:val="clear" w:color="000000" w:fill="D9D9D9"/>
            <w:noWrap/>
            <w:vAlign w:val="bottom"/>
            <w:hideMark/>
          </w:tcPr>
          <w:p w14:paraId="38C1105D" w14:textId="77777777" w:rsidR="000B0E71" w:rsidRPr="000B0E71" w:rsidRDefault="000B0E71" w:rsidP="000B0E71">
            <w:pPr>
              <w:keepNext/>
              <w:keepLines/>
              <w:widowControl/>
              <w:autoSpaceDE/>
              <w:autoSpaceDN/>
              <w:adjustRightInd/>
              <w:ind w:firstLine="220"/>
              <w:rPr>
                <w:color w:val="000000"/>
                <w:sz w:val="22"/>
                <w:szCs w:val="22"/>
              </w:rPr>
            </w:pPr>
            <w:r w:rsidRPr="000B0E71">
              <w:rPr>
                <w:color w:val="000000"/>
                <w:sz w:val="22"/>
                <w:szCs w:val="22"/>
              </w:rPr>
              <w:t>Constellation</w:t>
            </w:r>
          </w:p>
        </w:tc>
        <w:tc>
          <w:tcPr>
            <w:tcW w:w="1840" w:type="dxa"/>
            <w:tcBorders>
              <w:top w:val="nil"/>
              <w:left w:val="single" w:sz="4" w:space="0" w:color="auto"/>
              <w:bottom w:val="nil"/>
              <w:right w:val="single" w:sz="4" w:space="0" w:color="auto"/>
            </w:tcBorders>
            <w:shd w:val="clear" w:color="000000" w:fill="D9D9D9"/>
            <w:noWrap/>
            <w:vAlign w:val="bottom"/>
            <w:hideMark/>
          </w:tcPr>
          <w:p w14:paraId="619D8A7D"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27</w:t>
            </w:r>
          </w:p>
        </w:tc>
        <w:tc>
          <w:tcPr>
            <w:tcW w:w="1500" w:type="dxa"/>
            <w:tcBorders>
              <w:top w:val="nil"/>
              <w:left w:val="nil"/>
              <w:bottom w:val="nil"/>
              <w:right w:val="single" w:sz="4" w:space="0" w:color="auto"/>
            </w:tcBorders>
            <w:shd w:val="clear" w:color="000000" w:fill="D9D9D9"/>
            <w:noWrap/>
            <w:vAlign w:val="bottom"/>
            <w:hideMark/>
          </w:tcPr>
          <w:p w14:paraId="73D6BAEB"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3</w:t>
            </w:r>
          </w:p>
        </w:tc>
        <w:tc>
          <w:tcPr>
            <w:tcW w:w="1680" w:type="dxa"/>
            <w:tcBorders>
              <w:top w:val="nil"/>
              <w:left w:val="nil"/>
              <w:bottom w:val="nil"/>
              <w:right w:val="single" w:sz="4" w:space="0" w:color="auto"/>
            </w:tcBorders>
            <w:shd w:val="clear" w:color="000000" w:fill="D9D9D9"/>
            <w:noWrap/>
            <w:vAlign w:val="bottom"/>
            <w:hideMark/>
          </w:tcPr>
          <w:p w14:paraId="0FCDBD97"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11%</w:t>
            </w:r>
          </w:p>
        </w:tc>
      </w:tr>
      <w:tr w:rsidR="000B0E71" w:rsidRPr="000B0E71" w14:paraId="238051DF" w14:textId="77777777" w:rsidTr="000B0E71">
        <w:trPr>
          <w:trHeight w:val="360"/>
          <w:jc w:val="center"/>
        </w:trPr>
        <w:tc>
          <w:tcPr>
            <w:tcW w:w="4100" w:type="dxa"/>
            <w:tcBorders>
              <w:top w:val="nil"/>
              <w:left w:val="single" w:sz="4" w:space="0" w:color="auto"/>
              <w:bottom w:val="nil"/>
              <w:right w:val="nil"/>
            </w:tcBorders>
            <w:shd w:val="clear" w:color="auto" w:fill="auto"/>
            <w:noWrap/>
            <w:vAlign w:val="bottom"/>
            <w:hideMark/>
          </w:tcPr>
          <w:p w14:paraId="03E709A9" w14:textId="77777777" w:rsidR="000B0E71" w:rsidRPr="000B0E71" w:rsidRDefault="000B0E71" w:rsidP="000B0E71">
            <w:pPr>
              <w:keepNext/>
              <w:keepLines/>
              <w:widowControl/>
              <w:autoSpaceDE/>
              <w:autoSpaceDN/>
              <w:adjustRightInd/>
              <w:ind w:firstLine="220"/>
              <w:rPr>
                <w:color w:val="000000"/>
                <w:sz w:val="22"/>
                <w:szCs w:val="22"/>
              </w:rPr>
            </w:pPr>
            <w:r w:rsidRPr="000B0E71">
              <w:rPr>
                <w:color w:val="000000"/>
                <w:sz w:val="22"/>
                <w:szCs w:val="22"/>
              </w:rPr>
              <w:t>Energy Plus</w:t>
            </w:r>
          </w:p>
        </w:tc>
        <w:tc>
          <w:tcPr>
            <w:tcW w:w="1840" w:type="dxa"/>
            <w:tcBorders>
              <w:top w:val="nil"/>
              <w:left w:val="single" w:sz="4" w:space="0" w:color="auto"/>
              <w:bottom w:val="nil"/>
              <w:right w:val="single" w:sz="4" w:space="0" w:color="auto"/>
            </w:tcBorders>
            <w:shd w:val="clear" w:color="auto" w:fill="auto"/>
            <w:noWrap/>
            <w:vAlign w:val="bottom"/>
            <w:hideMark/>
          </w:tcPr>
          <w:p w14:paraId="516A4CEB"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16</w:t>
            </w:r>
          </w:p>
        </w:tc>
        <w:tc>
          <w:tcPr>
            <w:tcW w:w="1500" w:type="dxa"/>
            <w:tcBorders>
              <w:top w:val="nil"/>
              <w:left w:val="nil"/>
              <w:bottom w:val="nil"/>
              <w:right w:val="single" w:sz="4" w:space="0" w:color="auto"/>
            </w:tcBorders>
            <w:shd w:val="clear" w:color="auto" w:fill="auto"/>
            <w:noWrap/>
            <w:vAlign w:val="bottom"/>
            <w:hideMark/>
          </w:tcPr>
          <w:p w14:paraId="7615B9DF"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w:t>
            </w:r>
          </w:p>
        </w:tc>
        <w:tc>
          <w:tcPr>
            <w:tcW w:w="1680" w:type="dxa"/>
            <w:tcBorders>
              <w:top w:val="nil"/>
              <w:left w:val="nil"/>
              <w:bottom w:val="nil"/>
              <w:right w:val="single" w:sz="4" w:space="0" w:color="auto"/>
            </w:tcBorders>
            <w:shd w:val="clear" w:color="auto" w:fill="auto"/>
            <w:noWrap/>
            <w:vAlign w:val="bottom"/>
            <w:hideMark/>
          </w:tcPr>
          <w:p w14:paraId="3A888C6F"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6%</w:t>
            </w:r>
          </w:p>
        </w:tc>
      </w:tr>
      <w:tr w:rsidR="000B0E71" w:rsidRPr="000B0E71" w14:paraId="50EA77BF" w14:textId="77777777" w:rsidTr="000B0E71">
        <w:trPr>
          <w:trHeight w:val="360"/>
          <w:jc w:val="center"/>
        </w:trPr>
        <w:tc>
          <w:tcPr>
            <w:tcW w:w="4100" w:type="dxa"/>
            <w:tcBorders>
              <w:top w:val="nil"/>
              <w:left w:val="single" w:sz="4" w:space="0" w:color="auto"/>
              <w:bottom w:val="nil"/>
              <w:right w:val="nil"/>
            </w:tcBorders>
            <w:shd w:val="clear" w:color="000000" w:fill="D9D9D9"/>
            <w:noWrap/>
            <w:vAlign w:val="bottom"/>
            <w:hideMark/>
          </w:tcPr>
          <w:p w14:paraId="0CD19FCC" w14:textId="77777777" w:rsidR="000B0E71" w:rsidRPr="000B0E71" w:rsidRDefault="000B0E71" w:rsidP="000B0E71">
            <w:pPr>
              <w:keepNext/>
              <w:keepLines/>
              <w:widowControl/>
              <w:autoSpaceDE/>
              <w:autoSpaceDN/>
              <w:adjustRightInd/>
              <w:ind w:firstLine="220"/>
              <w:rPr>
                <w:color w:val="000000"/>
                <w:sz w:val="22"/>
                <w:szCs w:val="22"/>
              </w:rPr>
            </w:pPr>
            <w:r w:rsidRPr="000B0E71">
              <w:rPr>
                <w:color w:val="000000"/>
                <w:sz w:val="22"/>
                <w:szCs w:val="22"/>
              </w:rPr>
              <w:t>Public Power &amp; Utility</w:t>
            </w:r>
          </w:p>
        </w:tc>
        <w:tc>
          <w:tcPr>
            <w:tcW w:w="1840" w:type="dxa"/>
            <w:tcBorders>
              <w:top w:val="nil"/>
              <w:left w:val="single" w:sz="4" w:space="0" w:color="auto"/>
              <w:bottom w:val="nil"/>
              <w:right w:val="single" w:sz="4" w:space="0" w:color="auto"/>
            </w:tcBorders>
            <w:shd w:val="clear" w:color="000000" w:fill="D9D9D9"/>
            <w:noWrap/>
            <w:vAlign w:val="bottom"/>
            <w:hideMark/>
          </w:tcPr>
          <w:p w14:paraId="60EC0908"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133</w:t>
            </w:r>
          </w:p>
        </w:tc>
        <w:tc>
          <w:tcPr>
            <w:tcW w:w="1500" w:type="dxa"/>
            <w:tcBorders>
              <w:top w:val="nil"/>
              <w:left w:val="nil"/>
              <w:bottom w:val="nil"/>
              <w:right w:val="single" w:sz="4" w:space="0" w:color="auto"/>
            </w:tcBorders>
            <w:shd w:val="clear" w:color="000000" w:fill="D9D9D9"/>
            <w:noWrap/>
            <w:vAlign w:val="bottom"/>
            <w:hideMark/>
          </w:tcPr>
          <w:p w14:paraId="5A237363"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3</w:t>
            </w:r>
          </w:p>
        </w:tc>
        <w:tc>
          <w:tcPr>
            <w:tcW w:w="1680" w:type="dxa"/>
            <w:tcBorders>
              <w:top w:val="nil"/>
              <w:left w:val="nil"/>
              <w:bottom w:val="nil"/>
              <w:right w:val="single" w:sz="4" w:space="0" w:color="auto"/>
            </w:tcBorders>
            <w:shd w:val="clear" w:color="000000" w:fill="D9D9D9"/>
            <w:noWrap/>
            <w:vAlign w:val="bottom"/>
            <w:hideMark/>
          </w:tcPr>
          <w:p w14:paraId="1D0E83FE"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2%</w:t>
            </w:r>
          </w:p>
        </w:tc>
      </w:tr>
      <w:tr w:rsidR="000B0E71" w:rsidRPr="000B0E71" w14:paraId="420E1D8C" w14:textId="77777777" w:rsidTr="000B0E71">
        <w:trPr>
          <w:trHeight w:val="360"/>
          <w:jc w:val="center"/>
        </w:trPr>
        <w:tc>
          <w:tcPr>
            <w:tcW w:w="4100" w:type="dxa"/>
            <w:tcBorders>
              <w:top w:val="single" w:sz="4" w:space="0" w:color="auto"/>
              <w:left w:val="single" w:sz="4" w:space="0" w:color="auto"/>
              <w:bottom w:val="nil"/>
              <w:right w:val="nil"/>
            </w:tcBorders>
            <w:shd w:val="clear" w:color="auto" w:fill="auto"/>
            <w:noWrap/>
            <w:vAlign w:val="bottom"/>
            <w:hideMark/>
          </w:tcPr>
          <w:p w14:paraId="4E00B75F" w14:textId="77777777" w:rsidR="000B0E71" w:rsidRPr="000B0E71" w:rsidRDefault="000B0E71" w:rsidP="000B0E71">
            <w:pPr>
              <w:keepNext/>
              <w:keepLines/>
              <w:widowControl/>
              <w:autoSpaceDE/>
              <w:autoSpaceDN/>
              <w:adjustRightInd/>
              <w:rPr>
                <w:color w:val="000000"/>
                <w:sz w:val="22"/>
                <w:szCs w:val="22"/>
              </w:rPr>
            </w:pPr>
            <w:r w:rsidRPr="000B0E71">
              <w:rPr>
                <w:color w:val="000000"/>
                <w:sz w:val="22"/>
                <w:szCs w:val="22"/>
              </w:rPr>
              <w:t>Subtotal</w:t>
            </w:r>
          </w:p>
        </w:tc>
        <w:tc>
          <w:tcPr>
            <w:tcW w:w="1840" w:type="dxa"/>
            <w:tcBorders>
              <w:top w:val="single" w:sz="4" w:space="0" w:color="auto"/>
              <w:left w:val="single" w:sz="4" w:space="0" w:color="auto"/>
              <w:bottom w:val="nil"/>
              <w:right w:val="single" w:sz="4" w:space="0" w:color="auto"/>
            </w:tcBorders>
            <w:shd w:val="clear" w:color="auto" w:fill="auto"/>
            <w:noWrap/>
            <w:vAlign w:val="bottom"/>
            <w:hideMark/>
          </w:tcPr>
          <w:p w14:paraId="0C87A150"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505</w:t>
            </w:r>
          </w:p>
        </w:tc>
        <w:tc>
          <w:tcPr>
            <w:tcW w:w="1500" w:type="dxa"/>
            <w:tcBorders>
              <w:top w:val="single" w:sz="4" w:space="0" w:color="auto"/>
              <w:left w:val="nil"/>
              <w:bottom w:val="nil"/>
              <w:right w:val="single" w:sz="4" w:space="0" w:color="auto"/>
            </w:tcBorders>
            <w:shd w:val="clear" w:color="auto" w:fill="auto"/>
            <w:noWrap/>
            <w:vAlign w:val="bottom"/>
            <w:hideMark/>
          </w:tcPr>
          <w:p w14:paraId="4A443FD2"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61</w:t>
            </w:r>
          </w:p>
        </w:tc>
        <w:tc>
          <w:tcPr>
            <w:tcW w:w="1680" w:type="dxa"/>
            <w:tcBorders>
              <w:top w:val="single" w:sz="4" w:space="0" w:color="auto"/>
              <w:left w:val="nil"/>
              <w:bottom w:val="nil"/>
              <w:right w:val="single" w:sz="4" w:space="0" w:color="auto"/>
            </w:tcBorders>
            <w:shd w:val="clear" w:color="auto" w:fill="auto"/>
            <w:noWrap/>
            <w:vAlign w:val="bottom"/>
            <w:hideMark/>
          </w:tcPr>
          <w:p w14:paraId="37513940"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12%</w:t>
            </w:r>
          </w:p>
        </w:tc>
      </w:tr>
      <w:tr w:rsidR="000B0E71" w:rsidRPr="000B0E71" w14:paraId="658650F6" w14:textId="77777777" w:rsidTr="000B0E71">
        <w:trPr>
          <w:trHeight w:val="680"/>
          <w:jc w:val="center"/>
        </w:trPr>
        <w:tc>
          <w:tcPr>
            <w:tcW w:w="4100" w:type="dxa"/>
            <w:tcBorders>
              <w:top w:val="nil"/>
              <w:left w:val="single" w:sz="4" w:space="0" w:color="auto"/>
              <w:bottom w:val="single" w:sz="4" w:space="0" w:color="auto"/>
              <w:right w:val="nil"/>
            </w:tcBorders>
            <w:shd w:val="clear" w:color="000000" w:fill="BFBFBF"/>
            <w:vAlign w:val="bottom"/>
            <w:hideMark/>
          </w:tcPr>
          <w:p w14:paraId="329060C6" w14:textId="77777777" w:rsidR="000B0E71" w:rsidRPr="000B0E71" w:rsidRDefault="000B0E71" w:rsidP="000B0E71">
            <w:pPr>
              <w:keepNext/>
              <w:keepLines/>
              <w:widowControl/>
              <w:autoSpaceDE/>
              <w:autoSpaceDN/>
              <w:adjustRightInd/>
              <w:rPr>
                <w:color w:val="000000"/>
                <w:sz w:val="22"/>
                <w:szCs w:val="22"/>
              </w:rPr>
            </w:pPr>
            <w:r w:rsidRPr="000B0E71">
              <w:rPr>
                <w:color w:val="000000"/>
                <w:sz w:val="22"/>
                <w:szCs w:val="22"/>
              </w:rPr>
              <w:t>Total all</w:t>
            </w:r>
            <w:r w:rsidR="00A93FF2">
              <w:rPr>
                <w:color w:val="000000"/>
                <w:sz w:val="22"/>
                <w:szCs w:val="22"/>
              </w:rPr>
              <w:t xml:space="preserve"> Supplier</w:t>
            </w:r>
            <w:r w:rsidRPr="000B0E71">
              <w:rPr>
                <w:color w:val="000000"/>
                <w:sz w:val="22"/>
                <w:szCs w:val="22"/>
              </w:rPr>
              <w:t>s (including</w:t>
            </w:r>
            <w:r w:rsidR="00A93FF2">
              <w:rPr>
                <w:color w:val="000000"/>
                <w:sz w:val="22"/>
                <w:szCs w:val="22"/>
              </w:rPr>
              <w:t xml:space="preserve"> Supplier</w:t>
            </w:r>
            <w:r w:rsidRPr="000B0E71">
              <w:rPr>
                <w:color w:val="000000"/>
                <w:sz w:val="22"/>
                <w:szCs w:val="22"/>
              </w:rPr>
              <w:t>s with zero door-to-door</w:t>
            </w:r>
          </w:p>
        </w:tc>
        <w:tc>
          <w:tcPr>
            <w:tcW w:w="1840" w:type="dxa"/>
            <w:tcBorders>
              <w:top w:val="nil"/>
              <w:left w:val="single" w:sz="4" w:space="0" w:color="auto"/>
              <w:bottom w:val="single" w:sz="4" w:space="0" w:color="auto"/>
              <w:right w:val="single" w:sz="4" w:space="0" w:color="auto"/>
            </w:tcBorders>
            <w:shd w:val="clear" w:color="000000" w:fill="BFBFBF"/>
            <w:noWrap/>
            <w:vAlign w:val="bottom"/>
            <w:hideMark/>
          </w:tcPr>
          <w:p w14:paraId="67DD4865"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818</w:t>
            </w:r>
          </w:p>
        </w:tc>
        <w:tc>
          <w:tcPr>
            <w:tcW w:w="1500" w:type="dxa"/>
            <w:tcBorders>
              <w:top w:val="nil"/>
              <w:left w:val="nil"/>
              <w:bottom w:val="single" w:sz="4" w:space="0" w:color="auto"/>
              <w:right w:val="single" w:sz="4" w:space="0" w:color="auto"/>
            </w:tcBorders>
            <w:shd w:val="clear" w:color="000000" w:fill="BFBFBF"/>
            <w:noWrap/>
            <w:vAlign w:val="bottom"/>
            <w:hideMark/>
          </w:tcPr>
          <w:p w14:paraId="2F2F3AEF"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61</w:t>
            </w:r>
          </w:p>
        </w:tc>
        <w:tc>
          <w:tcPr>
            <w:tcW w:w="1680" w:type="dxa"/>
            <w:tcBorders>
              <w:top w:val="nil"/>
              <w:left w:val="nil"/>
              <w:bottom w:val="single" w:sz="4" w:space="0" w:color="auto"/>
              <w:right w:val="single" w:sz="4" w:space="0" w:color="auto"/>
            </w:tcBorders>
            <w:shd w:val="clear" w:color="000000" w:fill="BFBFBF"/>
            <w:noWrap/>
            <w:vAlign w:val="bottom"/>
            <w:hideMark/>
          </w:tcPr>
          <w:p w14:paraId="41F4C069" w14:textId="77777777" w:rsidR="000B0E71" w:rsidRPr="000B0E71" w:rsidRDefault="000B0E71" w:rsidP="000B0E71">
            <w:pPr>
              <w:keepNext/>
              <w:keepLines/>
              <w:widowControl/>
              <w:autoSpaceDE/>
              <w:autoSpaceDN/>
              <w:adjustRightInd/>
              <w:jc w:val="right"/>
              <w:rPr>
                <w:color w:val="000000"/>
                <w:sz w:val="22"/>
                <w:szCs w:val="22"/>
              </w:rPr>
            </w:pPr>
            <w:r w:rsidRPr="000B0E71">
              <w:rPr>
                <w:color w:val="000000"/>
                <w:sz w:val="22"/>
                <w:szCs w:val="22"/>
              </w:rPr>
              <w:t>7%</w:t>
            </w:r>
          </w:p>
        </w:tc>
      </w:tr>
    </w:tbl>
    <w:p w14:paraId="6CDCDEE2" w14:textId="77777777" w:rsidR="000B0E71" w:rsidRDefault="000B0E71" w:rsidP="00C216BD">
      <w:pPr>
        <w:spacing w:line="480" w:lineRule="auto"/>
        <w:ind w:left="1440" w:hanging="720"/>
        <w:jc w:val="center"/>
        <w:rPr>
          <w:b/>
        </w:rPr>
      </w:pPr>
    </w:p>
    <w:p w14:paraId="705F650E" w14:textId="77777777" w:rsidR="00A005B7" w:rsidRDefault="00A21688" w:rsidP="0009426F">
      <w:pPr>
        <w:spacing w:line="480" w:lineRule="auto"/>
        <w:ind w:left="720" w:hanging="720"/>
        <w:outlineLvl w:val="0"/>
      </w:pPr>
      <w:r w:rsidRPr="00C92E65">
        <w:rPr>
          <w:b/>
        </w:rPr>
        <w:br w:type="page"/>
      </w:r>
      <w:bookmarkStart w:id="39" w:name="_Toc382029128"/>
      <w:r w:rsidR="00A005B7">
        <w:rPr>
          <w:b/>
        </w:rPr>
        <w:t>IV.</w:t>
      </w:r>
      <w:r w:rsidR="00A005B7">
        <w:rPr>
          <w:b/>
        </w:rPr>
        <w:tab/>
        <w:t>ELECTRIC RATES</w:t>
      </w:r>
      <w:bookmarkEnd w:id="39"/>
    </w:p>
    <w:p w14:paraId="16B4CC17" w14:textId="77777777" w:rsidR="00A005B7" w:rsidRDefault="00A005B7" w:rsidP="00A005B7">
      <w:pPr>
        <w:spacing w:line="480" w:lineRule="auto"/>
        <w:ind w:left="720" w:hanging="720"/>
        <w:rPr>
          <w:b/>
        </w:rPr>
      </w:pPr>
      <w:r>
        <w:rPr>
          <w:b/>
        </w:rPr>
        <w:t>Q:</w:t>
      </w:r>
      <w:r>
        <w:rPr>
          <w:b/>
        </w:rPr>
        <w:tab/>
        <w:t>Did you analyze</w:t>
      </w:r>
      <w:r w:rsidR="00A93FF2">
        <w:rPr>
          <w:b/>
        </w:rPr>
        <w:t xml:space="preserve"> Supplier</w:t>
      </w:r>
      <w:r>
        <w:rPr>
          <w:b/>
        </w:rPr>
        <w:t>s’ rates and standard rates?</w:t>
      </w:r>
    </w:p>
    <w:p w14:paraId="31064787" w14:textId="77777777" w:rsidR="00E7469B" w:rsidRDefault="00A005B7" w:rsidP="00A005B7">
      <w:pPr>
        <w:spacing w:line="480" w:lineRule="auto"/>
        <w:ind w:left="720" w:hanging="720"/>
      </w:pPr>
      <w:r>
        <w:t>A:</w:t>
      </w:r>
      <w:r>
        <w:tab/>
        <w:t>Yes.  One measure of consumer benefit (</w:t>
      </w:r>
      <w:r w:rsidR="009A3B2B">
        <w:t>or</w:t>
      </w:r>
      <w:r>
        <w:t xml:space="preserve"> harm) is the price that consumers pay for electricity.  In interrogatories, OCC requested detailed</w:t>
      </w:r>
      <w:r w:rsidR="00A93FF2">
        <w:t xml:space="preserve"> Supplier</w:t>
      </w:r>
      <w:r w:rsidR="00401882">
        <w:t xml:space="preserve"> </w:t>
      </w:r>
      <w:r>
        <w:t xml:space="preserve">pricing information from CL&amp;P and UI, which they provided on a </w:t>
      </w:r>
      <w:r w:rsidR="00E7469B">
        <w:t>confidential</w:t>
      </w:r>
      <w:r>
        <w:t xml:space="preserve"> basis.  In this section of </w:t>
      </w:r>
      <w:r w:rsidR="00AD6779">
        <w:t xml:space="preserve">our </w:t>
      </w:r>
      <w:r>
        <w:t>testimony,</w:t>
      </w:r>
      <w:r w:rsidR="008B6DBC">
        <w:t xml:space="preserve"> we </w:t>
      </w:r>
      <w:r>
        <w:t xml:space="preserve">summarize </w:t>
      </w:r>
      <w:r w:rsidR="00AD6779">
        <w:t xml:space="preserve">our </w:t>
      </w:r>
      <w:r>
        <w:t>analysis of the prices that consumers who cho</w:t>
      </w:r>
      <w:r w:rsidR="009A3B2B">
        <w:t>se</w:t>
      </w:r>
      <w:r>
        <w:t xml:space="preserve"> to purchase service from</w:t>
      </w:r>
      <w:r w:rsidR="00A93FF2">
        <w:t xml:space="preserve"> Supplier</w:t>
      </w:r>
      <w:r>
        <w:t xml:space="preserve">s </w:t>
      </w:r>
      <w:r w:rsidR="0004789A">
        <w:t xml:space="preserve">in the </w:t>
      </w:r>
      <w:r w:rsidR="001779DA">
        <w:t xml:space="preserve">recent </w:t>
      </w:r>
      <w:r w:rsidR="0004789A">
        <w:t xml:space="preserve">billing period covered by the EDCs responses </w:t>
      </w:r>
      <w:r>
        <w:t>pa</w:t>
      </w:r>
      <w:r w:rsidR="009A3B2B">
        <w:t xml:space="preserve">id, compared with </w:t>
      </w:r>
      <w:r>
        <w:t xml:space="preserve">the prices </w:t>
      </w:r>
      <w:r w:rsidR="009A3B2B">
        <w:t xml:space="preserve">paid by </w:t>
      </w:r>
      <w:r>
        <w:t xml:space="preserve">consumers who chose to purchase standard service from </w:t>
      </w:r>
      <w:r w:rsidR="009A3B2B">
        <w:t xml:space="preserve">their </w:t>
      </w:r>
      <w:r>
        <w:t>EDCs</w:t>
      </w:r>
      <w:r w:rsidR="009A3B2B">
        <w:t>.</w:t>
      </w:r>
      <w:r w:rsidR="00C447BD">
        <w:t xml:space="preserve"> </w:t>
      </w:r>
      <w:r w:rsidR="001779DA">
        <w:t xml:space="preserve"> </w:t>
      </w:r>
    </w:p>
    <w:p w14:paraId="58F2D039" w14:textId="77777777" w:rsidR="00A21688" w:rsidRDefault="00A21688" w:rsidP="00A005B7">
      <w:pPr>
        <w:spacing w:line="480" w:lineRule="auto"/>
        <w:ind w:left="720" w:hanging="720"/>
        <w:rPr>
          <w:b/>
        </w:rPr>
      </w:pPr>
      <w:r>
        <w:rPr>
          <w:b/>
        </w:rPr>
        <w:t>Q:</w:t>
      </w:r>
      <w:r>
        <w:rPr>
          <w:b/>
        </w:rPr>
        <w:tab/>
        <w:t>How many customers’ prices did your analysis encompass?</w:t>
      </w:r>
      <w:r w:rsidR="00A005B7" w:rsidRPr="00664386">
        <w:rPr>
          <w:b/>
        </w:rPr>
        <w:t xml:space="preserve"> </w:t>
      </w:r>
    </w:p>
    <w:p w14:paraId="762AEDCD" w14:textId="77777777" w:rsidR="00A005B7" w:rsidRDefault="00A005B7" w:rsidP="00A005B7">
      <w:pPr>
        <w:spacing w:line="480" w:lineRule="auto"/>
        <w:ind w:left="720" w:hanging="720"/>
      </w:pPr>
      <w:r>
        <w:t>A:</w:t>
      </w:r>
      <w:r>
        <w:tab/>
      </w:r>
      <w:r w:rsidR="002C00B4">
        <w:t xml:space="preserve">We </w:t>
      </w:r>
      <w:r w:rsidRPr="00055791">
        <w:t xml:space="preserve">examined </w:t>
      </w:r>
      <w:r>
        <w:t>price and deman</w:t>
      </w:r>
      <w:r w:rsidRPr="00055791">
        <w:t xml:space="preserve">d data for </w:t>
      </w:r>
      <w:r>
        <w:t xml:space="preserve">approximately 1.4 million </w:t>
      </w:r>
      <w:r w:rsidRPr="00055791">
        <w:t>residential customers who purchase</w:t>
      </w:r>
      <w:r w:rsidR="0004789A">
        <w:t>d</w:t>
      </w:r>
      <w:r w:rsidRPr="00055791">
        <w:t xml:space="preserve"> electricity in C</w:t>
      </w:r>
      <w:r w:rsidR="00A21688">
        <w:t>onnecticut</w:t>
      </w:r>
      <w:r w:rsidRPr="00055791">
        <w:t xml:space="preserve"> either from the two EDCs with </w:t>
      </w:r>
      <w:r w:rsidR="00A21688">
        <w:t xml:space="preserve">a </w:t>
      </w:r>
      <w:r w:rsidRPr="00055791">
        <w:t>standard rate or from</w:t>
      </w:r>
      <w:r w:rsidR="00A93FF2">
        <w:t xml:space="preserve"> Supplier</w:t>
      </w:r>
      <w:r w:rsidRPr="00055791">
        <w:t>s (billed by EDCs)</w:t>
      </w:r>
      <w:r w:rsidR="009A3B2B">
        <w:t>.</w:t>
      </w:r>
      <w:r w:rsidR="00A21688">
        <w:rPr>
          <w:rStyle w:val="FootnoteReference"/>
        </w:rPr>
        <w:footnoteReference w:id="40"/>
      </w:r>
      <w:r w:rsidRPr="00055791">
        <w:t xml:space="preserve"> </w:t>
      </w:r>
      <w:r w:rsidR="0046188C">
        <w:t xml:space="preserve"> </w:t>
      </w:r>
      <w:r w:rsidR="00A21688">
        <w:t xml:space="preserve">As Table </w:t>
      </w:r>
      <w:r w:rsidR="001C43F9">
        <w:t>10</w:t>
      </w:r>
      <w:r w:rsidR="00A21688">
        <w:t xml:space="preserve"> below shows, approximately 80% of </w:t>
      </w:r>
      <w:r w:rsidR="009A3B2B">
        <w:t xml:space="preserve">these </w:t>
      </w:r>
      <w:r w:rsidR="00A21688">
        <w:t>customers reside in CL&amp;P’s territory.</w:t>
      </w:r>
    </w:p>
    <w:p w14:paraId="67F1BC2B" w14:textId="77777777" w:rsidR="00A005B7" w:rsidRDefault="00A005B7" w:rsidP="0046188C">
      <w:pPr>
        <w:keepNext/>
        <w:keepLines/>
        <w:ind w:left="720" w:hanging="720"/>
        <w:jc w:val="center"/>
        <w:rPr>
          <w:b/>
        </w:rPr>
      </w:pPr>
      <w:r>
        <w:rPr>
          <w:b/>
        </w:rPr>
        <w:t xml:space="preserve">Table </w:t>
      </w:r>
      <w:r w:rsidR="001C43F9">
        <w:rPr>
          <w:b/>
        </w:rPr>
        <w:t>10</w:t>
      </w:r>
    </w:p>
    <w:p w14:paraId="3FCCB0A3" w14:textId="77777777" w:rsidR="00A21688" w:rsidRDefault="00A21688" w:rsidP="0046188C">
      <w:pPr>
        <w:keepNext/>
        <w:keepLines/>
        <w:ind w:left="720" w:hanging="720"/>
        <w:jc w:val="center"/>
        <w:rPr>
          <w:b/>
        </w:rPr>
      </w:pPr>
      <w:r>
        <w:rPr>
          <w:b/>
        </w:rPr>
        <w:t>Residential Customers Purchasing Service from EDCs and Suppliers</w:t>
      </w:r>
    </w:p>
    <w:p w14:paraId="2AA13016" w14:textId="77777777" w:rsidR="0046188C" w:rsidRDefault="0046188C" w:rsidP="0046188C">
      <w:pPr>
        <w:keepNext/>
        <w:keepLines/>
        <w:ind w:left="720" w:hanging="720"/>
        <w:jc w:val="center"/>
        <w:rPr>
          <w:b/>
        </w:rPr>
      </w:pPr>
    </w:p>
    <w:tbl>
      <w:tblPr>
        <w:tblW w:w="7005" w:type="dxa"/>
        <w:jc w:val="center"/>
        <w:tblLook w:val="04A0" w:firstRow="1" w:lastRow="0" w:firstColumn="1" w:lastColumn="0" w:noHBand="0" w:noVBand="1"/>
      </w:tblPr>
      <w:tblGrid>
        <w:gridCol w:w="416"/>
        <w:gridCol w:w="1500"/>
        <w:gridCol w:w="1460"/>
        <w:gridCol w:w="1060"/>
        <w:gridCol w:w="1060"/>
        <w:gridCol w:w="1148"/>
        <w:gridCol w:w="361"/>
      </w:tblGrid>
      <w:tr w:rsidR="00A005B7" w:rsidRPr="00362CD3" w14:paraId="46995970" w14:textId="77777777" w:rsidTr="00980C33">
        <w:trPr>
          <w:trHeight w:val="97"/>
          <w:jc w:val="center"/>
        </w:trPr>
        <w:tc>
          <w:tcPr>
            <w:tcW w:w="416" w:type="dxa"/>
            <w:tcBorders>
              <w:top w:val="single" w:sz="8" w:space="0" w:color="auto"/>
              <w:left w:val="single" w:sz="8" w:space="0" w:color="auto"/>
              <w:bottom w:val="nil"/>
              <w:right w:val="nil"/>
            </w:tcBorders>
            <w:shd w:val="clear" w:color="000000" w:fill="FFFFFF"/>
            <w:noWrap/>
            <w:vAlign w:val="center"/>
            <w:hideMark/>
          </w:tcPr>
          <w:p w14:paraId="04BE91CA" w14:textId="77777777" w:rsidR="00A005B7" w:rsidRPr="00362CD3" w:rsidRDefault="00A005B7" w:rsidP="00014150">
            <w:pPr>
              <w:keepNext/>
              <w:keepLines/>
              <w:widowControl/>
              <w:autoSpaceDE/>
              <w:autoSpaceDN/>
              <w:adjustRightInd/>
              <w:ind w:firstLine="1200"/>
              <w:rPr>
                <w:color w:val="000000"/>
              </w:rPr>
            </w:pPr>
            <w:r w:rsidRPr="00362CD3">
              <w:rPr>
                <w:color w:val="000000"/>
              </w:rPr>
              <w:t> </w:t>
            </w:r>
          </w:p>
        </w:tc>
        <w:tc>
          <w:tcPr>
            <w:tcW w:w="1500" w:type="dxa"/>
            <w:tcBorders>
              <w:top w:val="single" w:sz="8" w:space="0" w:color="auto"/>
              <w:left w:val="nil"/>
              <w:bottom w:val="nil"/>
              <w:right w:val="nil"/>
            </w:tcBorders>
            <w:shd w:val="clear" w:color="000000" w:fill="FFFFFF"/>
            <w:noWrap/>
            <w:vAlign w:val="bottom"/>
            <w:hideMark/>
          </w:tcPr>
          <w:p w14:paraId="1DEBA509"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single" w:sz="8" w:space="0" w:color="auto"/>
              <w:left w:val="nil"/>
              <w:bottom w:val="nil"/>
              <w:right w:val="nil"/>
            </w:tcBorders>
            <w:shd w:val="clear" w:color="000000" w:fill="FFFFFF"/>
            <w:noWrap/>
            <w:vAlign w:val="bottom"/>
            <w:hideMark/>
          </w:tcPr>
          <w:p w14:paraId="74271C03"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single" w:sz="8" w:space="0" w:color="auto"/>
              <w:left w:val="nil"/>
              <w:bottom w:val="nil"/>
              <w:right w:val="nil"/>
            </w:tcBorders>
            <w:shd w:val="clear" w:color="000000" w:fill="FFFFFF"/>
            <w:noWrap/>
            <w:vAlign w:val="bottom"/>
            <w:hideMark/>
          </w:tcPr>
          <w:p w14:paraId="1B6AA5D0"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single" w:sz="8" w:space="0" w:color="auto"/>
              <w:left w:val="nil"/>
              <w:bottom w:val="nil"/>
              <w:right w:val="nil"/>
            </w:tcBorders>
            <w:shd w:val="clear" w:color="000000" w:fill="FFFFFF"/>
            <w:noWrap/>
            <w:vAlign w:val="bottom"/>
            <w:hideMark/>
          </w:tcPr>
          <w:p w14:paraId="6567E6D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single" w:sz="8" w:space="0" w:color="auto"/>
              <w:left w:val="nil"/>
              <w:bottom w:val="nil"/>
              <w:right w:val="nil"/>
            </w:tcBorders>
            <w:shd w:val="clear" w:color="000000" w:fill="FFFFFF"/>
            <w:noWrap/>
            <w:vAlign w:val="bottom"/>
            <w:hideMark/>
          </w:tcPr>
          <w:p w14:paraId="5E0EB9FD"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single" w:sz="8" w:space="0" w:color="auto"/>
              <w:left w:val="nil"/>
              <w:bottom w:val="nil"/>
              <w:right w:val="single" w:sz="8" w:space="0" w:color="auto"/>
            </w:tcBorders>
            <w:shd w:val="clear" w:color="000000" w:fill="FFFFFF"/>
            <w:noWrap/>
            <w:vAlign w:val="bottom"/>
            <w:hideMark/>
          </w:tcPr>
          <w:p w14:paraId="7602057C"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379DAEAD" w14:textId="77777777" w:rsidTr="000B616F">
        <w:trPr>
          <w:trHeight w:val="360"/>
          <w:jc w:val="center"/>
        </w:trPr>
        <w:tc>
          <w:tcPr>
            <w:tcW w:w="416" w:type="dxa"/>
            <w:tcBorders>
              <w:top w:val="nil"/>
              <w:left w:val="single" w:sz="8" w:space="0" w:color="auto"/>
              <w:bottom w:val="nil"/>
              <w:right w:val="nil"/>
            </w:tcBorders>
            <w:shd w:val="clear" w:color="000000" w:fill="FFFFFF"/>
            <w:noWrap/>
            <w:vAlign w:val="bottom"/>
            <w:hideMark/>
          </w:tcPr>
          <w:p w14:paraId="0408ED0A"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2960" w:type="dxa"/>
            <w:gridSpan w:val="2"/>
            <w:tcBorders>
              <w:top w:val="nil"/>
              <w:left w:val="nil"/>
              <w:bottom w:val="nil"/>
              <w:right w:val="nil"/>
            </w:tcBorders>
            <w:shd w:val="clear" w:color="000000" w:fill="FFFFFF"/>
            <w:noWrap/>
            <w:vAlign w:val="center"/>
            <w:hideMark/>
          </w:tcPr>
          <w:p w14:paraId="657A59D2" w14:textId="77777777" w:rsidR="00A005B7" w:rsidRPr="00362CD3" w:rsidRDefault="00A005B7" w:rsidP="00014150">
            <w:pPr>
              <w:keepNext/>
              <w:keepLines/>
              <w:widowControl/>
              <w:autoSpaceDE/>
              <w:autoSpaceDN/>
              <w:adjustRightInd/>
              <w:jc w:val="center"/>
              <w:rPr>
                <w:b/>
                <w:bCs/>
                <w:i/>
                <w:iCs/>
                <w:color w:val="000000"/>
                <w:sz w:val="22"/>
                <w:szCs w:val="22"/>
              </w:rPr>
            </w:pPr>
            <w:r w:rsidRPr="00362CD3">
              <w:rPr>
                <w:b/>
                <w:bCs/>
                <w:i/>
                <w:iCs/>
                <w:color w:val="000000"/>
                <w:sz w:val="22"/>
                <w:szCs w:val="22"/>
              </w:rPr>
              <w:t xml:space="preserve">Standard </w:t>
            </w:r>
            <w:r w:rsidR="00A57814">
              <w:rPr>
                <w:b/>
                <w:bCs/>
                <w:i/>
                <w:iCs/>
                <w:color w:val="000000"/>
                <w:sz w:val="22"/>
                <w:szCs w:val="22"/>
              </w:rPr>
              <w:t xml:space="preserve">Offer </w:t>
            </w:r>
            <w:r w:rsidRPr="00362CD3">
              <w:rPr>
                <w:b/>
                <w:bCs/>
                <w:i/>
                <w:iCs/>
                <w:color w:val="000000"/>
                <w:sz w:val="22"/>
                <w:szCs w:val="22"/>
              </w:rPr>
              <w:t>Residential Customers</w:t>
            </w:r>
          </w:p>
        </w:tc>
        <w:tc>
          <w:tcPr>
            <w:tcW w:w="1060" w:type="dxa"/>
            <w:tcBorders>
              <w:top w:val="nil"/>
              <w:left w:val="nil"/>
              <w:bottom w:val="nil"/>
              <w:right w:val="nil"/>
            </w:tcBorders>
            <w:shd w:val="clear" w:color="000000" w:fill="FFFFFF"/>
            <w:noWrap/>
            <w:vAlign w:val="bottom"/>
            <w:hideMark/>
          </w:tcPr>
          <w:p w14:paraId="21D4A82E" w14:textId="77777777" w:rsidR="00A005B7" w:rsidRPr="00362CD3" w:rsidRDefault="00A005B7" w:rsidP="00014150">
            <w:pPr>
              <w:keepNext/>
              <w:keepLines/>
              <w:widowControl/>
              <w:autoSpaceDE/>
              <w:autoSpaceDN/>
              <w:adjustRightInd/>
              <w:rPr>
                <w:i/>
                <w:iCs/>
                <w:color w:val="000000"/>
                <w:sz w:val="22"/>
                <w:szCs w:val="22"/>
              </w:rPr>
            </w:pPr>
            <w:r w:rsidRPr="00362CD3">
              <w:rPr>
                <w:i/>
                <w:iCs/>
                <w:color w:val="000000"/>
                <w:sz w:val="22"/>
                <w:szCs w:val="22"/>
              </w:rPr>
              <w:t> </w:t>
            </w:r>
          </w:p>
        </w:tc>
        <w:tc>
          <w:tcPr>
            <w:tcW w:w="1060" w:type="dxa"/>
            <w:tcBorders>
              <w:top w:val="nil"/>
              <w:left w:val="nil"/>
              <w:bottom w:val="nil"/>
              <w:right w:val="nil"/>
            </w:tcBorders>
            <w:shd w:val="clear" w:color="000000" w:fill="FFFFFF"/>
            <w:noWrap/>
            <w:vAlign w:val="bottom"/>
            <w:hideMark/>
          </w:tcPr>
          <w:p w14:paraId="7644ACD9"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43A7ED4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1C45AA29"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58C74561"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3742FD23"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1FF5FCD6"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3AF15E68" w14:textId="77777777" w:rsidR="00A005B7" w:rsidRPr="00362CD3" w:rsidRDefault="00A005B7" w:rsidP="00014150">
            <w:pPr>
              <w:keepNext/>
              <w:keepLines/>
              <w:widowControl/>
              <w:autoSpaceDE/>
              <w:autoSpaceDN/>
              <w:adjustRightInd/>
              <w:jc w:val="right"/>
              <w:rPr>
                <w:color w:val="000000"/>
                <w:sz w:val="22"/>
                <w:szCs w:val="22"/>
              </w:rPr>
            </w:pPr>
            <w:r w:rsidRPr="00362CD3">
              <w:rPr>
                <w:color w:val="000000"/>
                <w:sz w:val="22"/>
                <w:szCs w:val="22"/>
              </w:rPr>
              <w:t xml:space="preserve"> 655,326 </w:t>
            </w:r>
          </w:p>
        </w:tc>
        <w:tc>
          <w:tcPr>
            <w:tcW w:w="1060" w:type="dxa"/>
            <w:tcBorders>
              <w:top w:val="nil"/>
              <w:left w:val="nil"/>
              <w:bottom w:val="nil"/>
              <w:right w:val="nil"/>
            </w:tcBorders>
            <w:shd w:val="clear" w:color="000000" w:fill="FFFFFF"/>
            <w:noWrap/>
            <w:vAlign w:val="bottom"/>
            <w:hideMark/>
          </w:tcPr>
          <w:p w14:paraId="58BF8C4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CL&amp;P</w:t>
            </w:r>
          </w:p>
        </w:tc>
        <w:tc>
          <w:tcPr>
            <w:tcW w:w="1060" w:type="dxa"/>
            <w:tcBorders>
              <w:top w:val="nil"/>
              <w:left w:val="nil"/>
              <w:bottom w:val="nil"/>
              <w:right w:val="nil"/>
            </w:tcBorders>
            <w:shd w:val="clear" w:color="000000" w:fill="FFFFFF"/>
            <w:noWrap/>
            <w:vAlign w:val="bottom"/>
            <w:hideMark/>
          </w:tcPr>
          <w:p w14:paraId="47747699"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59F6B56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6899365C"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6BABB684"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6FBD91E5"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56930177"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60AC150F" w14:textId="77777777" w:rsidR="00A005B7" w:rsidRPr="00362CD3" w:rsidRDefault="00A005B7" w:rsidP="00014150">
            <w:pPr>
              <w:keepNext/>
              <w:keepLines/>
              <w:widowControl/>
              <w:autoSpaceDE/>
              <w:autoSpaceDN/>
              <w:adjustRightInd/>
              <w:jc w:val="right"/>
              <w:rPr>
                <w:color w:val="000000"/>
                <w:sz w:val="22"/>
                <w:szCs w:val="22"/>
              </w:rPr>
            </w:pPr>
            <w:r w:rsidRPr="00362CD3">
              <w:rPr>
                <w:color w:val="000000"/>
                <w:sz w:val="22"/>
                <w:szCs w:val="22"/>
              </w:rPr>
              <w:t xml:space="preserve"> 150,734 </w:t>
            </w:r>
          </w:p>
        </w:tc>
        <w:tc>
          <w:tcPr>
            <w:tcW w:w="1060" w:type="dxa"/>
            <w:tcBorders>
              <w:top w:val="nil"/>
              <w:left w:val="nil"/>
              <w:bottom w:val="nil"/>
              <w:right w:val="nil"/>
            </w:tcBorders>
            <w:shd w:val="clear" w:color="000000" w:fill="FFFFFF"/>
            <w:noWrap/>
            <w:vAlign w:val="bottom"/>
            <w:hideMark/>
          </w:tcPr>
          <w:p w14:paraId="44B0D0B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UI</w:t>
            </w:r>
          </w:p>
        </w:tc>
        <w:tc>
          <w:tcPr>
            <w:tcW w:w="1060" w:type="dxa"/>
            <w:tcBorders>
              <w:top w:val="nil"/>
              <w:left w:val="nil"/>
              <w:bottom w:val="nil"/>
              <w:right w:val="nil"/>
            </w:tcBorders>
            <w:shd w:val="clear" w:color="000000" w:fill="FFFFFF"/>
            <w:noWrap/>
            <w:vAlign w:val="bottom"/>
            <w:hideMark/>
          </w:tcPr>
          <w:p w14:paraId="4E42F3E3"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79932048"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1C4A5BAD"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1D3354EB"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3585C869"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686631B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338D536E" w14:textId="77777777" w:rsidR="00A005B7" w:rsidRPr="00362CD3" w:rsidRDefault="00A005B7" w:rsidP="00014150">
            <w:pPr>
              <w:keepNext/>
              <w:keepLines/>
              <w:widowControl/>
              <w:autoSpaceDE/>
              <w:autoSpaceDN/>
              <w:adjustRightInd/>
              <w:jc w:val="right"/>
              <w:rPr>
                <w:color w:val="000000"/>
                <w:sz w:val="22"/>
                <w:szCs w:val="22"/>
              </w:rPr>
            </w:pPr>
            <w:r w:rsidRPr="00362CD3">
              <w:rPr>
                <w:color w:val="000000"/>
                <w:sz w:val="22"/>
                <w:szCs w:val="22"/>
              </w:rPr>
              <w:t xml:space="preserve"> 806,060 </w:t>
            </w:r>
          </w:p>
        </w:tc>
        <w:tc>
          <w:tcPr>
            <w:tcW w:w="3268" w:type="dxa"/>
            <w:gridSpan w:val="3"/>
            <w:tcBorders>
              <w:top w:val="nil"/>
              <w:left w:val="nil"/>
              <w:bottom w:val="nil"/>
              <w:right w:val="nil"/>
            </w:tcBorders>
            <w:shd w:val="clear" w:color="000000" w:fill="FFFFFF"/>
            <w:noWrap/>
            <w:vAlign w:val="bottom"/>
            <w:hideMark/>
          </w:tcPr>
          <w:p w14:paraId="4FC66DAA"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xml:space="preserve">Total Standard </w:t>
            </w:r>
            <w:r w:rsidR="00A57814">
              <w:rPr>
                <w:color w:val="000000"/>
                <w:sz w:val="22"/>
                <w:szCs w:val="22"/>
              </w:rPr>
              <w:t xml:space="preserve">Offer </w:t>
            </w:r>
            <w:r w:rsidRPr="00362CD3">
              <w:rPr>
                <w:color w:val="000000"/>
                <w:sz w:val="22"/>
                <w:szCs w:val="22"/>
              </w:rPr>
              <w:t>Residential</w:t>
            </w:r>
          </w:p>
        </w:tc>
        <w:tc>
          <w:tcPr>
            <w:tcW w:w="361" w:type="dxa"/>
            <w:tcBorders>
              <w:top w:val="nil"/>
              <w:left w:val="nil"/>
              <w:bottom w:val="nil"/>
              <w:right w:val="single" w:sz="8" w:space="0" w:color="auto"/>
            </w:tcBorders>
            <w:shd w:val="clear" w:color="000000" w:fill="FFFFFF"/>
            <w:noWrap/>
            <w:vAlign w:val="bottom"/>
            <w:hideMark/>
          </w:tcPr>
          <w:p w14:paraId="0A69F046"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4C42A4BD" w14:textId="77777777" w:rsidTr="000B616F">
        <w:trPr>
          <w:trHeight w:val="380"/>
          <w:jc w:val="center"/>
        </w:trPr>
        <w:tc>
          <w:tcPr>
            <w:tcW w:w="416" w:type="dxa"/>
            <w:tcBorders>
              <w:top w:val="nil"/>
              <w:left w:val="single" w:sz="8" w:space="0" w:color="auto"/>
              <w:bottom w:val="nil"/>
              <w:right w:val="nil"/>
            </w:tcBorders>
            <w:shd w:val="clear" w:color="000000" w:fill="FFFFFF"/>
            <w:noWrap/>
            <w:vAlign w:val="bottom"/>
            <w:hideMark/>
          </w:tcPr>
          <w:p w14:paraId="554D8AA5"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2960" w:type="dxa"/>
            <w:gridSpan w:val="2"/>
            <w:tcBorders>
              <w:top w:val="nil"/>
              <w:left w:val="nil"/>
              <w:bottom w:val="nil"/>
              <w:right w:val="nil"/>
            </w:tcBorders>
            <w:shd w:val="clear" w:color="000000" w:fill="FFFFFF"/>
            <w:noWrap/>
            <w:vAlign w:val="bottom"/>
            <w:hideMark/>
          </w:tcPr>
          <w:p w14:paraId="1ACCBC87" w14:textId="77777777" w:rsidR="00A005B7" w:rsidRPr="00362CD3" w:rsidRDefault="00A005B7" w:rsidP="00014150">
            <w:pPr>
              <w:keepNext/>
              <w:keepLines/>
              <w:widowControl/>
              <w:autoSpaceDE/>
              <w:autoSpaceDN/>
              <w:adjustRightInd/>
              <w:jc w:val="center"/>
              <w:rPr>
                <w:b/>
                <w:bCs/>
                <w:i/>
                <w:iCs/>
                <w:color w:val="000000"/>
                <w:sz w:val="22"/>
                <w:szCs w:val="22"/>
              </w:rPr>
            </w:pPr>
            <w:r w:rsidRPr="00362CD3">
              <w:rPr>
                <w:b/>
                <w:bCs/>
                <w:i/>
                <w:iCs/>
                <w:color w:val="000000"/>
                <w:sz w:val="22"/>
                <w:szCs w:val="22"/>
              </w:rPr>
              <w:t xml:space="preserve"> Supplier Residential Customers </w:t>
            </w:r>
          </w:p>
        </w:tc>
        <w:tc>
          <w:tcPr>
            <w:tcW w:w="1060" w:type="dxa"/>
            <w:tcBorders>
              <w:top w:val="nil"/>
              <w:left w:val="nil"/>
              <w:bottom w:val="nil"/>
              <w:right w:val="nil"/>
            </w:tcBorders>
            <w:shd w:val="clear" w:color="000000" w:fill="FFFFFF"/>
            <w:noWrap/>
            <w:vAlign w:val="bottom"/>
            <w:hideMark/>
          </w:tcPr>
          <w:p w14:paraId="3B693FB0" w14:textId="77777777" w:rsidR="00A005B7" w:rsidRPr="00362CD3" w:rsidRDefault="00A005B7" w:rsidP="00014150">
            <w:pPr>
              <w:keepNext/>
              <w:keepLines/>
              <w:widowControl/>
              <w:autoSpaceDE/>
              <w:autoSpaceDN/>
              <w:adjustRightInd/>
              <w:rPr>
                <w:i/>
                <w:iCs/>
                <w:color w:val="000000"/>
                <w:sz w:val="22"/>
                <w:szCs w:val="22"/>
              </w:rPr>
            </w:pPr>
            <w:r w:rsidRPr="00362CD3">
              <w:rPr>
                <w:i/>
                <w:iCs/>
                <w:color w:val="000000"/>
                <w:sz w:val="22"/>
                <w:szCs w:val="22"/>
              </w:rPr>
              <w:t> </w:t>
            </w:r>
          </w:p>
        </w:tc>
        <w:tc>
          <w:tcPr>
            <w:tcW w:w="1060" w:type="dxa"/>
            <w:tcBorders>
              <w:top w:val="nil"/>
              <w:left w:val="nil"/>
              <w:bottom w:val="nil"/>
              <w:right w:val="nil"/>
            </w:tcBorders>
            <w:shd w:val="clear" w:color="000000" w:fill="FFFFFF"/>
            <w:noWrap/>
            <w:vAlign w:val="bottom"/>
            <w:hideMark/>
          </w:tcPr>
          <w:p w14:paraId="4FBD2910"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26DD3AC2"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1023E63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07920278"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33B6D6AE"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085699E5"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7D5AA102" w14:textId="77777777" w:rsidR="00A005B7" w:rsidRPr="00362CD3" w:rsidRDefault="00A005B7" w:rsidP="00014150">
            <w:pPr>
              <w:keepNext/>
              <w:keepLines/>
              <w:widowControl/>
              <w:autoSpaceDE/>
              <w:autoSpaceDN/>
              <w:adjustRightInd/>
              <w:jc w:val="right"/>
              <w:rPr>
                <w:color w:val="000000"/>
                <w:sz w:val="22"/>
                <w:szCs w:val="22"/>
              </w:rPr>
            </w:pPr>
            <w:r w:rsidRPr="00362CD3">
              <w:rPr>
                <w:color w:val="000000"/>
                <w:sz w:val="22"/>
                <w:szCs w:val="22"/>
              </w:rPr>
              <w:t xml:space="preserve"> 449,027 </w:t>
            </w:r>
          </w:p>
        </w:tc>
        <w:tc>
          <w:tcPr>
            <w:tcW w:w="2120" w:type="dxa"/>
            <w:gridSpan w:val="2"/>
            <w:tcBorders>
              <w:top w:val="nil"/>
              <w:left w:val="nil"/>
              <w:bottom w:val="nil"/>
              <w:right w:val="nil"/>
            </w:tcBorders>
            <w:shd w:val="clear" w:color="000000" w:fill="FFFFFF"/>
            <w:noWrap/>
            <w:vAlign w:val="bottom"/>
            <w:hideMark/>
          </w:tcPr>
          <w:p w14:paraId="18DFBA1F"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CL&amp;P Territory</w:t>
            </w:r>
          </w:p>
        </w:tc>
        <w:tc>
          <w:tcPr>
            <w:tcW w:w="1148" w:type="dxa"/>
            <w:tcBorders>
              <w:top w:val="nil"/>
              <w:left w:val="nil"/>
              <w:bottom w:val="nil"/>
              <w:right w:val="nil"/>
            </w:tcBorders>
            <w:shd w:val="clear" w:color="000000" w:fill="FFFFFF"/>
            <w:noWrap/>
            <w:vAlign w:val="bottom"/>
            <w:hideMark/>
          </w:tcPr>
          <w:p w14:paraId="59F3FC6B"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002787D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29269B02"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07756926"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3E4F9775"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0E724B16" w14:textId="77777777" w:rsidR="00A005B7" w:rsidRPr="00362CD3" w:rsidRDefault="00A005B7" w:rsidP="00014150">
            <w:pPr>
              <w:keepNext/>
              <w:keepLines/>
              <w:widowControl/>
              <w:autoSpaceDE/>
              <w:autoSpaceDN/>
              <w:adjustRightInd/>
              <w:jc w:val="right"/>
              <w:rPr>
                <w:color w:val="000000"/>
                <w:sz w:val="22"/>
                <w:szCs w:val="22"/>
              </w:rPr>
            </w:pPr>
            <w:r w:rsidRPr="00362CD3">
              <w:rPr>
                <w:color w:val="000000"/>
                <w:sz w:val="22"/>
                <w:szCs w:val="22"/>
              </w:rPr>
              <w:t xml:space="preserve"> 137,021 </w:t>
            </w:r>
          </w:p>
        </w:tc>
        <w:tc>
          <w:tcPr>
            <w:tcW w:w="2120" w:type="dxa"/>
            <w:gridSpan w:val="2"/>
            <w:tcBorders>
              <w:top w:val="nil"/>
              <w:left w:val="nil"/>
              <w:bottom w:val="nil"/>
              <w:right w:val="nil"/>
            </w:tcBorders>
            <w:shd w:val="clear" w:color="000000" w:fill="FFFFFF"/>
            <w:noWrap/>
            <w:vAlign w:val="bottom"/>
            <w:hideMark/>
          </w:tcPr>
          <w:p w14:paraId="51B746EF"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UI Territory</w:t>
            </w:r>
          </w:p>
        </w:tc>
        <w:tc>
          <w:tcPr>
            <w:tcW w:w="1148" w:type="dxa"/>
            <w:tcBorders>
              <w:top w:val="nil"/>
              <w:left w:val="nil"/>
              <w:bottom w:val="nil"/>
              <w:right w:val="nil"/>
            </w:tcBorders>
            <w:shd w:val="clear" w:color="000000" w:fill="FFFFFF"/>
            <w:noWrap/>
            <w:vAlign w:val="bottom"/>
            <w:hideMark/>
          </w:tcPr>
          <w:p w14:paraId="7F2924A6"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686FEEBC"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6D08B72B"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4915671B"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5521464E"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789313D2" w14:textId="77777777" w:rsidR="00A005B7" w:rsidRPr="00362CD3" w:rsidRDefault="00A005B7" w:rsidP="00014150">
            <w:pPr>
              <w:keepNext/>
              <w:keepLines/>
              <w:widowControl/>
              <w:autoSpaceDE/>
              <w:autoSpaceDN/>
              <w:adjustRightInd/>
              <w:jc w:val="right"/>
              <w:rPr>
                <w:color w:val="000000"/>
                <w:sz w:val="22"/>
                <w:szCs w:val="22"/>
              </w:rPr>
            </w:pPr>
            <w:r w:rsidRPr="00362CD3">
              <w:rPr>
                <w:color w:val="000000"/>
                <w:sz w:val="22"/>
                <w:szCs w:val="22"/>
              </w:rPr>
              <w:t xml:space="preserve"> 586,048 </w:t>
            </w:r>
          </w:p>
        </w:tc>
        <w:tc>
          <w:tcPr>
            <w:tcW w:w="3268" w:type="dxa"/>
            <w:gridSpan w:val="3"/>
            <w:tcBorders>
              <w:top w:val="nil"/>
              <w:left w:val="nil"/>
              <w:bottom w:val="nil"/>
              <w:right w:val="nil"/>
            </w:tcBorders>
            <w:shd w:val="clear" w:color="000000" w:fill="FFFFFF"/>
            <w:noWrap/>
            <w:vAlign w:val="bottom"/>
            <w:hideMark/>
          </w:tcPr>
          <w:p w14:paraId="3D6C584C"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Total Residential Supplier-Served</w:t>
            </w:r>
          </w:p>
        </w:tc>
        <w:tc>
          <w:tcPr>
            <w:tcW w:w="361" w:type="dxa"/>
            <w:tcBorders>
              <w:top w:val="nil"/>
              <w:left w:val="nil"/>
              <w:bottom w:val="nil"/>
              <w:right w:val="single" w:sz="8" w:space="0" w:color="auto"/>
            </w:tcBorders>
            <w:shd w:val="clear" w:color="000000" w:fill="FFFFFF"/>
            <w:noWrap/>
            <w:vAlign w:val="bottom"/>
            <w:hideMark/>
          </w:tcPr>
          <w:p w14:paraId="008442F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3C04AE1B" w14:textId="77777777" w:rsidTr="000B616F">
        <w:trPr>
          <w:trHeight w:val="360"/>
          <w:jc w:val="center"/>
        </w:trPr>
        <w:tc>
          <w:tcPr>
            <w:tcW w:w="416" w:type="dxa"/>
            <w:tcBorders>
              <w:top w:val="nil"/>
              <w:left w:val="single" w:sz="8" w:space="0" w:color="auto"/>
              <w:bottom w:val="nil"/>
              <w:right w:val="nil"/>
            </w:tcBorders>
            <w:shd w:val="clear" w:color="000000" w:fill="FFFFFF"/>
            <w:noWrap/>
            <w:vAlign w:val="bottom"/>
            <w:hideMark/>
          </w:tcPr>
          <w:p w14:paraId="0267DF7E"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2960" w:type="dxa"/>
            <w:gridSpan w:val="2"/>
            <w:tcBorders>
              <w:top w:val="nil"/>
              <w:left w:val="nil"/>
              <w:bottom w:val="nil"/>
              <w:right w:val="nil"/>
            </w:tcBorders>
            <w:shd w:val="clear" w:color="000000" w:fill="FFFFFF"/>
            <w:noWrap/>
            <w:vAlign w:val="bottom"/>
            <w:hideMark/>
          </w:tcPr>
          <w:p w14:paraId="65F58EF5" w14:textId="77777777" w:rsidR="00A005B7" w:rsidRPr="00362CD3" w:rsidRDefault="00A005B7" w:rsidP="00014150">
            <w:pPr>
              <w:keepNext/>
              <w:keepLines/>
              <w:widowControl/>
              <w:autoSpaceDE/>
              <w:autoSpaceDN/>
              <w:adjustRightInd/>
              <w:jc w:val="center"/>
              <w:rPr>
                <w:b/>
                <w:bCs/>
                <w:color w:val="000000"/>
                <w:sz w:val="22"/>
                <w:szCs w:val="22"/>
              </w:rPr>
            </w:pPr>
            <w:r w:rsidRPr="00362CD3">
              <w:rPr>
                <w:b/>
                <w:bCs/>
                <w:color w:val="000000"/>
                <w:sz w:val="22"/>
                <w:szCs w:val="22"/>
              </w:rPr>
              <w:t xml:space="preserve"> Total Residential Customers </w:t>
            </w:r>
          </w:p>
        </w:tc>
        <w:tc>
          <w:tcPr>
            <w:tcW w:w="1060" w:type="dxa"/>
            <w:tcBorders>
              <w:top w:val="nil"/>
              <w:left w:val="nil"/>
              <w:bottom w:val="nil"/>
              <w:right w:val="nil"/>
            </w:tcBorders>
            <w:shd w:val="clear" w:color="000000" w:fill="FFFFFF"/>
            <w:noWrap/>
            <w:vAlign w:val="bottom"/>
            <w:hideMark/>
          </w:tcPr>
          <w:p w14:paraId="187A30F7" w14:textId="77777777" w:rsidR="00A005B7" w:rsidRPr="00362CD3" w:rsidRDefault="00A005B7" w:rsidP="00014150">
            <w:pPr>
              <w:keepNext/>
              <w:keepLines/>
              <w:widowControl/>
              <w:autoSpaceDE/>
              <w:autoSpaceDN/>
              <w:adjustRightInd/>
              <w:rPr>
                <w:i/>
                <w:iCs/>
                <w:color w:val="000000"/>
                <w:sz w:val="22"/>
                <w:szCs w:val="22"/>
              </w:rPr>
            </w:pPr>
            <w:r w:rsidRPr="00362CD3">
              <w:rPr>
                <w:i/>
                <w:iCs/>
                <w:color w:val="000000"/>
                <w:sz w:val="22"/>
                <w:szCs w:val="22"/>
              </w:rPr>
              <w:t> </w:t>
            </w:r>
          </w:p>
        </w:tc>
        <w:tc>
          <w:tcPr>
            <w:tcW w:w="1060" w:type="dxa"/>
            <w:tcBorders>
              <w:top w:val="nil"/>
              <w:left w:val="nil"/>
              <w:bottom w:val="nil"/>
              <w:right w:val="nil"/>
            </w:tcBorders>
            <w:shd w:val="clear" w:color="000000" w:fill="FFFFFF"/>
            <w:noWrap/>
            <w:vAlign w:val="bottom"/>
            <w:hideMark/>
          </w:tcPr>
          <w:p w14:paraId="22B523B0"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1A26D402"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5EA005A0"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774B6F3F"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1A9819A1"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581BE478"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4118A52A" w14:textId="77777777" w:rsidR="00A005B7" w:rsidRPr="00362CD3" w:rsidRDefault="00A005B7" w:rsidP="00014150">
            <w:pPr>
              <w:keepNext/>
              <w:keepLines/>
              <w:widowControl/>
              <w:autoSpaceDE/>
              <w:autoSpaceDN/>
              <w:adjustRightInd/>
              <w:jc w:val="right"/>
              <w:rPr>
                <w:color w:val="000000"/>
                <w:sz w:val="22"/>
                <w:szCs w:val="22"/>
              </w:rPr>
            </w:pPr>
            <w:r w:rsidRPr="00362CD3">
              <w:rPr>
                <w:color w:val="000000"/>
                <w:sz w:val="22"/>
                <w:szCs w:val="22"/>
              </w:rPr>
              <w:t xml:space="preserve"> 1,392,108 </w:t>
            </w:r>
          </w:p>
        </w:tc>
        <w:tc>
          <w:tcPr>
            <w:tcW w:w="1060" w:type="dxa"/>
            <w:tcBorders>
              <w:top w:val="nil"/>
              <w:left w:val="nil"/>
              <w:bottom w:val="nil"/>
              <w:right w:val="nil"/>
            </w:tcBorders>
            <w:shd w:val="clear" w:color="000000" w:fill="FFFFFF"/>
            <w:noWrap/>
            <w:vAlign w:val="bottom"/>
            <w:hideMark/>
          </w:tcPr>
          <w:p w14:paraId="6985005E"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nil"/>
              <w:right w:val="nil"/>
            </w:tcBorders>
            <w:shd w:val="clear" w:color="000000" w:fill="FFFFFF"/>
            <w:noWrap/>
            <w:vAlign w:val="bottom"/>
            <w:hideMark/>
          </w:tcPr>
          <w:p w14:paraId="2E6BF443"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7E866735"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0532574A"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A005B7" w:rsidRPr="00362CD3" w14:paraId="0648CFA6" w14:textId="77777777" w:rsidTr="00980C33">
        <w:trPr>
          <w:trHeight w:val="100"/>
          <w:jc w:val="center"/>
        </w:trPr>
        <w:tc>
          <w:tcPr>
            <w:tcW w:w="416" w:type="dxa"/>
            <w:tcBorders>
              <w:top w:val="nil"/>
              <w:left w:val="single" w:sz="8" w:space="0" w:color="auto"/>
              <w:bottom w:val="nil"/>
              <w:right w:val="nil"/>
            </w:tcBorders>
            <w:shd w:val="clear" w:color="000000" w:fill="FFFFFF"/>
            <w:noWrap/>
            <w:vAlign w:val="bottom"/>
            <w:hideMark/>
          </w:tcPr>
          <w:p w14:paraId="23F7BB06"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71CEA7D3"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200930E8"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nil"/>
              <w:right w:val="nil"/>
            </w:tcBorders>
            <w:shd w:val="clear" w:color="000000" w:fill="FFFFFF"/>
            <w:noWrap/>
            <w:vAlign w:val="bottom"/>
            <w:hideMark/>
          </w:tcPr>
          <w:p w14:paraId="1BA5F373"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nil"/>
              <w:right w:val="nil"/>
            </w:tcBorders>
            <w:shd w:val="clear" w:color="000000" w:fill="FFFFFF"/>
            <w:noWrap/>
            <w:vAlign w:val="bottom"/>
            <w:hideMark/>
          </w:tcPr>
          <w:p w14:paraId="48793AF9"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6DD84523"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1CE13206" w14:textId="77777777" w:rsidR="00A005B7" w:rsidRPr="00362CD3" w:rsidRDefault="00A005B7"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79CCF219" w14:textId="77777777" w:rsidTr="000B616F">
        <w:trPr>
          <w:trHeight w:val="440"/>
          <w:jc w:val="center"/>
        </w:trPr>
        <w:tc>
          <w:tcPr>
            <w:tcW w:w="416" w:type="dxa"/>
            <w:tcBorders>
              <w:top w:val="nil"/>
              <w:left w:val="single" w:sz="8" w:space="0" w:color="auto"/>
              <w:bottom w:val="nil"/>
              <w:right w:val="nil"/>
            </w:tcBorders>
            <w:shd w:val="clear" w:color="000000" w:fill="FFFFFF"/>
            <w:noWrap/>
            <w:vAlign w:val="bottom"/>
            <w:hideMark/>
          </w:tcPr>
          <w:p w14:paraId="3252C103"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2960" w:type="dxa"/>
            <w:gridSpan w:val="2"/>
            <w:tcBorders>
              <w:top w:val="nil"/>
              <w:left w:val="nil"/>
              <w:bottom w:val="nil"/>
              <w:right w:val="nil"/>
            </w:tcBorders>
            <w:shd w:val="clear" w:color="000000" w:fill="FFFFFF"/>
            <w:noWrap/>
            <w:vAlign w:val="bottom"/>
            <w:hideMark/>
          </w:tcPr>
          <w:p w14:paraId="2BC3624A" w14:textId="77777777" w:rsidR="00014150" w:rsidRPr="00362CD3" w:rsidRDefault="00014150" w:rsidP="00014150">
            <w:pPr>
              <w:keepNext/>
              <w:keepLines/>
              <w:widowControl/>
              <w:autoSpaceDE/>
              <w:autoSpaceDN/>
              <w:adjustRightInd/>
              <w:jc w:val="center"/>
              <w:rPr>
                <w:b/>
                <w:bCs/>
                <w:i/>
                <w:iCs/>
                <w:color w:val="000000"/>
                <w:sz w:val="22"/>
                <w:szCs w:val="22"/>
              </w:rPr>
            </w:pPr>
            <w:r w:rsidRPr="00362CD3">
              <w:rPr>
                <w:b/>
                <w:bCs/>
                <w:i/>
                <w:iCs/>
                <w:color w:val="000000"/>
                <w:sz w:val="22"/>
                <w:szCs w:val="22"/>
              </w:rPr>
              <w:t xml:space="preserve"> CL&amp;P Territory </w:t>
            </w:r>
          </w:p>
        </w:tc>
        <w:tc>
          <w:tcPr>
            <w:tcW w:w="1060" w:type="dxa"/>
            <w:tcBorders>
              <w:top w:val="nil"/>
              <w:left w:val="nil"/>
              <w:bottom w:val="nil"/>
              <w:right w:val="nil"/>
            </w:tcBorders>
            <w:shd w:val="clear" w:color="000000" w:fill="FFFFFF"/>
            <w:noWrap/>
            <w:vAlign w:val="bottom"/>
            <w:hideMark/>
          </w:tcPr>
          <w:p w14:paraId="019E6E54"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nil"/>
              <w:right w:val="nil"/>
            </w:tcBorders>
            <w:shd w:val="clear" w:color="000000" w:fill="FFFFFF"/>
            <w:noWrap/>
            <w:vAlign w:val="bottom"/>
            <w:hideMark/>
          </w:tcPr>
          <w:p w14:paraId="35FB3DE5"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02824892"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5B26C7D4"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25B83B00"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46709102"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6777D12A"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7AA0377C" w14:textId="77777777" w:rsidR="00014150" w:rsidRPr="00362CD3" w:rsidRDefault="00014150" w:rsidP="00014150">
            <w:pPr>
              <w:keepNext/>
              <w:keepLines/>
              <w:widowControl/>
              <w:autoSpaceDE/>
              <w:autoSpaceDN/>
              <w:adjustRightInd/>
              <w:jc w:val="right"/>
              <w:rPr>
                <w:color w:val="000000"/>
                <w:sz w:val="22"/>
                <w:szCs w:val="22"/>
              </w:rPr>
            </w:pPr>
            <w:r w:rsidRPr="00362CD3">
              <w:rPr>
                <w:color w:val="000000"/>
                <w:sz w:val="22"/>
                <w:szCs w:val="22"/>
              </w:rPr>
              <w:t xml:space="preserve"> 655,326 </w:t>
            </w:r>
          </w:p>
        </w:tc>
        <w:tc>
          <w:tcPr>
            <w:tcW w:w="2120" w:type="dxa"/>
            <w:gridSpan w:val="2"/>
            <w:tcBorders>
              <w:top w:val="nil"/>
              <w:left w:val="nil"/>
              <w:bottom w:val="nil"/>
              <w:right w:val="nil"/>
            </w:tcBorders>
            <w:shd w:val="clear" w:color="000000" w:fill="FFFFFF"/>
            <w:noWrap/>
            <w:vAlign w:val="bottom"/>
            <w:hideMark/>
          </w:tcPr>
          <w:p w14:paraId="6F7D7A38" w14:textId="77777777" w:rsidR="00014150" w:rsidRPr="00362CD3" w:rsidRDefault="00014150" w:rsidP="00014150">
            <w:pPr>
              <w:keepNext/>
              <w:keepLines/>
              <w:widowControl/>
              <w:autoSpaceDE/>
              <w:autoSpaceDN/>
              <w:adjustRightInd/>
              <w:rPr>
                <w:color w:val="000000"/>
                <w:sz w:val="22"/>
                <w:szCs w:val="22"/>
              </w:rPr>
            </w:pPr>
            <w:r>
              <w:rPr>
                <w:color w:val="000000"/>
                <w:sz w:val="22"/>
                <w:szCs w:val="22"/>
              </w:rPr>
              <w:t>CL&amp;P S</w:t>
            </w:r>
            <w:r w:rsidRPr="00362CD3">
              <w:rPr>
                <w:color w:val="000000"/>
                <w:sz w:val="22"/>
                <w:szCs w:val="22"/>
              </w:rPr>
              <w:t>tandard</w:t>
            </w:r>
          </w:p>
        </w:tc>
        <w:tc>
          <w:tcPr>
            <w:tcW w:w="1148" w:type="dxa"/>
            <w:tcBorders>
              <w:top w:val="nil"/>
              <w:left w:val="nil"/>
              <w:bottom w:val="nil"/>
              <w:right w:val="nil"/>
            </w:tcBorders>
            <w:shd w:val="clear" w:color="000000" w:fill="FFFFFF"/>
            <w:noWrap/>
            <w:vAlign w:val="bottom"/>
            <w:hideMark/>
          </w:tcPr>
          <w:p w14:paraId="3BC69F05"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4DCF5337"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2F6FE123"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27BC368F"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7A85D154"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7ABC8B5B" w14:textId="77777777" w:rsidR="00014150" w:rsidRPr="00362CD3" w:rsidRDefault="00014150" w:rsidP="00014150">
            <w:pPr>
              <w:keepNext/>
              <w:keepLines/>
              <w:widowControl/>
              <w:autoSpaceDE/>
              <w:autoSpaceDN/>
              <w:adjustRightInd/>
              <w:jc w:val="right"/>
              <w:rPr>
                <w:color w:val="000000"/>
                <w:sz w:val="22"/>
                <w:szCs w:val="22"/>
              </w:rPr>
            </w:pPr>
            <w:r w:rsidRPr="00362CD3">
              <w:rPr>
                <w:color w:val="000000"/>
                <w:sz w:val="22"/>
                <w:szCs w:val="22"/>
              </w:rPr>
              <w:t xml:space="preserve"> 449,027 </w:t>
            </w:r>
          </w:p>
        </w:tc>
        <w:tc>
          <w:tcPr>
            <w:tcW w:w="3629" w:type="dxa"/>
            <w:gridSpan w:val="4"/>
            <w:tcBorders>
              <w:top w:val="nil"/>
              <w:left w:val="nil"/>
              <w:bottom w:val="nil"/>
              <w:right w:val="single" w:sz="8" w:space="0" w:color="000000"/>
            </w:tcBorders>
            <w:shd w:val="clear" w:color="000000" w:fill="FFFFFF"/>
            <w:noWrap/>
            <w:vAlign w:val="bottom"/>
            <w:hideMark/>
          </w:tcPr>
          <w:p w14:paraId="2E3B2E67"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CL&amp;P Territory - Supplier-Served</w:t>
            </w:r>
          </w:p>
        </w:tc>
      </w:tr>
      <w:tr w:rsidR="00014150" w:rsidRPr="00362CD3" w14:paraId="3F2927CD"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721CCCA2"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55E369A6"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1058D675" w14:textId="77777777" w:rsidR="00014150" w:rsidRPr="00362CD3" w:rsidRDefault="00014150" w:rsidP="00014150">
            <w:pPr>
              <w:keepNext/>
              <w:keepLines/>
              <w:widowControl/>
              <w:autoSpaceDE/>
              <w:autoSpaceDN/>
              <w:adjustRightInd/>
              <w:jc w:val="right"/>
              <w:rPr>
                <w:color w:val="000000"/>
                <w:sz w:val="22"/>
                <w:szCs w:val="22"/>
              </w:rPr>
            </w:pPr>
            <w:r w:rsidRPr="00362CD3">
              <w:rPr>
                <w:color w:val="000000"/>
                <w:sz w:val="22"/>
                <w:szCs w:val="22"/>
              </w:rPr>
              <w:t xml:space="preserve"> 1,104,353 </w:t>
            </w:r>
          </w:p>
        </w:tc>
        <w:tc>
          <w:tcPr>
            <w:tcW w:w="3268" w:type="dxa"/>
            <w:gridSpan w:val="3"/>
            <w:tcBorders>
              <w:top w:val="nil"/>
              <w:left w:val="nil"/>
              <w:bottom w:val="nil"/>
              <w:right w:val="nil"/>
            </w:tcBorders>
            <w:shd w:val="clear" w:color="000000" w:fill="FFFFFF"/>
            <w:noWrap/>
            <w:vAlign w:val="bottom"/>
            <w:hideMark/>
          </w:tcPr>
          <w:p w14:paraId="3B27EF1E"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Total CL&amp;P territory</w:t>
            </w:r>
          </w:p>
        </w:tc>
        <w:tc>
          <w:tcPr>
            <w:tcW w:w="361" w:type="dxa"/>
            <w:tcBorders>
              <w:top w:val="nil"/>
              <w:left w:val="nil"/>
              <w:bottom w:val="nil"/>
              <w:right w:val="single" w:sz="8" w:space="0" w:color="auto"/>
            </w:tcBorders>
            <w:shd w:val="clear" w:color="000000" w:fill="FFFFFF"/>
            <w:noWrap/>
            <w:vAlign w:val="bottom"/>
            <w:hideMark/>
          </w:tcPr>
          <w:p w14:paraId="060D169D"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1A9A9B4D" w14:textId="77777777" w:rsidTr="000B616F">
        <w:trPr>
          <w:trHeight w:val="380"/>
          <w:jc w:val="center"/>
        </w:trPr>
        <w:tc>
          <w:tcPr>
            <w:tcW w:w="416" w:type="dxa"/>
            <w:tcBorders>
              <w:top w:val="nil"/>
              <w:left w:val="single" w:sz="8" w:space="0" w:color="auto"/>
              <w:bottom w:val="nil"/>
              <w:right w:val="nil"/>
            </w:tcBorders>
            <w:shd w:val="clear" w:color="000000" w:fill="FFFFFF"/>
            <w:noWrap/>
            <w:vAlign w:val="bottom"/>
            <w:hideMark/>
          </w:tcPr>
          <w:p w14:paraId="28E8C81A"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2960" w:type="dxa"/>
            <w:gridSpan w:val="2"/>
            <w:tcBorders>
              <w:top w:val="nil"/>
              <w:left w:val="nil"/>
              <w:bottom w:val="nil"/>
              <w:right w:val="nil"/>
            </w:tcBorders>
            <w:shd w:val="clear" w:color="000000" w:fill="FFFFFF"/>
            <w:noWrap/>
            <w:vAlign w:val="bottom"/>
            <w:hideMark/>
          </w:tcPr>
          <w:p w14:paraId="0551651E" w14:textId="77777777" w:rsidR="00014150" w:rsidRPr="00362CD3" w:rsidRDefault="00014150" w:rsidP="00014150">
            <w:pPr>
              <w:keepNext/>
              <w:keepLines/>
              <w:widowControl/>
              <w:autoSpaceDE/>
              <w:autoSpaceDN/>
              <w:adjustRightInd/>
              <w:jc w:val="center"/>
              <w:rPr>
                <w:b/>
                <w:bCs/>
                <w:i/>
                <w:iCs/>
                <w:color w:val="000000"/>
                <w:sz w:val="22"/>
                <w:szCs w:val="22"/>
              </w:rPr>
            </w:pPr>
            <w:r w:rsidRPr="00362CD3">
              <w:rPr>
                <w:b/>
                <w:bCs/>
                <w:i/>
                <w:iCs/>
                <w:color w:val="000000"/>
                <w:sz w:val="22"/>
                <w:szCs w:val="22"/>
              </w:rPr>
              <w:t xml:space="preserve"> UI Territory </w:t>
            </w:r>
          </w:p>
        </w:tc>
        <w:tc>
          <w:tcPr>
            <w:tcW w:w="1060" w:type="dxa"/>
            <w:tcBorders>
              <w:top w:val="nil"/>
              <w:left w:val="nil"/>
              <w:bottom w:val="nil"/>
              <w:right w:val="nil"/>
            </w:tcBorders>
            <w:shd w:val="clear" w:color="000000" w:fill="FFFFFF"/>
            <w:noWrap/>
            <w:vAlign w:val="bottom"/>
            <w:hideMark/>
          </w:tcPr>
          <w:p w14:paraId="1EA0D0F2"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nil"/>
              <w:right w:val="nil"/>
            </w:tcBorders>
            <w:shd w:val="clear" w:color="000000" w:fill="FFFFFF"/>
            <w:noWrap/>
            <w:vAlign w:val="bottom"/>
            <w:hideMark/>
          </w:tcPr>
          <w:p w14:paraId="1A7C8B5D"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36FB3226"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5DBF9A98"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59829611"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3844A9E5"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3D3696A0"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723D4932" w14:textId="77777777" w:rsidR="00014150" w:rsidRPr="00362CD3" w:rsidRDefault="00014150" w:rsidP="00014150">
            <w:pPr>
              <w:keepNext/>
              <w:keepLines/>
              <w:widowControl/>
              <w:autoSpaceDE/>
              <w:autoSpaceDN/>
              <w:adjustRightInd/>
              <w:jc w:val="right"/>
              <w:rPr>
                <w:color w:val="000000"/>
                <w:sz w:val="22"/>
                <w:szCs w:val="22"/>
              </w:rPr>
            </w:pPr>
            <w:r w:rsidRPr="00362CD3">
              <w:rPr>
                <w:color w:val="000000"/>
                <w:sz w:val="22"/>
                <w:szCs w:val="22"/>
              </w:rPr>
              <w:t xml:space="preserve"> 150,734 </w:t>
            </w:r>
          </w:p>
        </w:tc>
        <w:tc>
          <w:tcPr>
            <w:tcW w:w="2120" w:type="dxa"/>
            <w:gridSpan w:val="2"/>
            <w:tcBorders>
              <w:top w:val="nil"/>
              <w:left w:val="nil"/>
              <w:bottom w:val="nil"/>
              <w:right w:val="nil"/>
            </w:tcBorders>
            <w:shd w:val="clear" w:color="000000" w:fill="FFFFFF"/>
            <w:noWrap/>
            <w:vAlign w:val="bottom"/>
            <w:hideMark/>
          </w:tcPr>
          <w:p w14:paraId="342DF189"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UI standard</w:t>
            </w:r>
          </w:p>
        </w:tc>
        <w:tc>
          <w:tcPr>
            <w:tcW w:w="1148" w:type="dxa"/>
            <w:tcBorders>
              <w:top w:val="nil"/>
              <w:left w:val="nil"/>
              <w:bottom w:val="nil"/>
              <w:right w:val="nil"/>
            </w:tcBorders>
            <w:shd w:val="clear" w:color="000000" w:fill="FFFFFF"/>
            <w:noWrap/>
            <w:vAlign w:val="bottom"/>
            <w:hideMark/>
          </w:tcPr>
          <w:p w14:paraId="6197DDAC"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1A200593"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149592A9"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01C3F6D3"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55E0BEAA"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29FF5A93" w14:textId="77777777" w:rsidR="00014150" w:rsidRPr="00362CD3" w:rsidRDefault="00014150" w:rsidP="00014150">
            <w:pPr>
              <w:keepNext/>
              <w:keepLines/>
              <w:widowControl/>
              <w:autoSpaceDE/>
              <w:autoSpaceDN/>
              <w:adjustRightInd/>
              <w:jc w:val="right"/>
              <w:rPr>
                <w:color w:val="000000"/>
                <w:sz w:val="22"/>
                <w:szCs w:val="22"/>
              </w:rPr>
            </w:pPr>
            <w:r w:rsidRPr="00362CD3">
              <w:rPr>
                <w:color w:val="000000"/>
                <w:sz w:val="22"/>
                <w:szCs w:val="22"/>
              </w:rPr>
              <w:t xml:space="preserve"> 137,021 </w:t>
            </w:r>
          </w:p>
        </w:tc>
        <w:tc>
          <w:tcPr>
            <w:tcW w:w="3268" w:type="dxa"/>
            <w:gridSpan w:val="3"/>
            <w:tcBorders>
              <w:top w:val="nil"/>
              <w:left w:val="nil"/>
              <w:bottom w:val="nil"/>
              <w:right w:val="nil"/>
            </w:tcBorders>
            <w:shd w:val="clear" w:color="000000" w:fill="FFFFFF"/>
            <w:noWrap/>
            <w:vAlign w:val="bottom"/>
            <w:hideMark/>
          </w:tcPr>
          <w:p w14:paraId="44428993"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xml:space="preserve">UI territory </w:t>
            </w:r>
            <w:r>
              <w:rPr>
                <w:color w:val="000000"/>
                <w:sz w:val="22"/>
                <w:szCs w:val="22"/>
              </w:rPr>
              <w:t>–</w:t>
            </w:r>
            <w:r w:rsidR="00A93FF2">
              <w:rPr>
                <w:color w:val="000000"/>
                <w:sz w:val="22"/>
                <w:szCs w:val="22"/>
              </w:rPr>
              <w:t xml:space="preserve"> Supplier</w:t>
            </w:r>
            <w:r>
              <w:rPr>
                <w:color w:val="000000"/>
                <w:sz w:val="22"/>
                <w:szCs w:val="22"/>
              </w:rPr>
              <w:t>-</w:t>
            </w:r>
            <w:r w:rsidRPr="00362CD3">
              <w:rPr>
                <w:color w:val="000000"/>
                <w:sz w:val="22"/>
                <w:szCs w:val="22"/>
              </w:rPr>
              <w:t>served</w:t>
            </w:r>
          </w:p>
        </w:tc>
        <w:tc>
          <w:tcPr>
            <w:tcW w:w="361" w:type="dxa"/>
            <w:tcBorders>
              <w:top w:val="nil"/>
              <w:left w:val="nil"/>
              <w:bottom w:val="nil"/>
              <w:right w:val="single" w:sz="8" w:space="0" w:color="auto"/>
            </w:tcBorders>
            <w:shd w:val="clear" w:color="000000" w:fill="FFFFFF"/>
            <w:noWrap/>
            <w:vAlign w:val="bottom"/>
            <w:hideMark/>
          </w:tcPr>
          <w:p w14:paraId="47A4B3E1"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087500A0"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492821A7"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239FEFB7"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49BC1679" w14:textId="77777777" w:rsidR="00014150" w:rsidRPr="00362CD3" w:rsidRDefault="00014150" w:rsidP="00014150">
            <w:pPr>
              <w:keepNext/>
              <w:keepLines/>
              <w:widowControl/>
              <w:autoSpaceDE/>
              <w:autoSpaceDN/>
              <w:adjustRightInd/>
              <w:jc w:val="right"/>
              <w:rPr>
                <w:color w:val="000000"/>
                <w:sz w:val="22"/>
                <w:szCs w:val="22"/>
              </w:rPr>
            </w:pPr>
            <w:r w:rsidRPr="00362CD3">
              <w:rPr>
                <w:color w:val="000000"/>
                <w:sz w:val="22"/>
                <w:szCs w:val="22"/>
              </w:rPr>
              <w:t xml:space="preserve"> 287,755 </w:t>
            </w:r>
          </w:p>
        </w:tc>
        <w:tc>
          <w:tcPr>
            <w:tcW w:w="2120" w:type="dxa"/>
            <w:gridSpan w:val="2"/>
            <w:tcBorders>
              <w:top w:val="nil"/>
              <w:left w:val="nil"/>
              <w:bottom w:val="nil"/>
              <w:right w:val="nil"/>
            </w:tcBorders>
            <w:shd w:val="clear" w:color="000000" w:fill="FFFFFF"/>
            <w:noWrap/>
            <w:vAlign w:val="bottom"/>
            <w:hideMark/>
          </w:tcPr>
          <w:p w14:paraId="4FB6F560"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Total UI Territory</w:t>
            </w:r>
          </w:p>
        </w:tc>
        <w:tc>
          <w:tcPr>
            <w:tcW w:w="1148" w:type="dxa"/>
            <w:tcBorders>
              <w:top w:val="nil"/>
              <w:left w:val="nil"/>
              <w:bottom w:val="nil"/>
              <w:right w:val="nil"/>
            </w:tcBorders>
            <w:shd w:val="clear" w:color="000000" w:fill="FFFFFF"/>
            <w:noWrap/>
            <w:vAlign w:val="bottom"/>
            <w:hideMark/>
          </w:tcPr>
          <w:p w14:paraId="38F0406A"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73E3E27E"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5877F081" w14:textId="77777777" w:rsidTr="000B616F">
        <w:trPr>
          <w:trHeight w:val="440"/>
          <w:jc w:val="center"/>
        </w:trPr>
        <w:tc>
          <w:tcPr>
            <w:tcW w:w="416" w:type="dxa"/>
            <w:tcBorders>
              <w:top w:val="nil"/>
              <w:left w:val="single" w:sz="8" w:space="0" w:color="auto"/>
              <w:bottom w:val="nil"/>
              <w:right w:val="nil"/>
            </w:tcBorders>
            <w:shd w:val="clear" w:color="000000" w:fill="FFFFFF"/>
            <w:noWrap/>
            <w:vAlign w:val="bottom"/>
            <w:hideMark/>
          </w:tcPr>
          <w:p w14:paraId="0BA5AF8D"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2960" w:type="dxa"/>
            <w:gridSpan w:val="2"/>
            <w:tcBorders>
              <w:top w:val="nil"/>
              <w:left w:val="nil"/>
              <w:bottom w:val="nil"/>
              <w:right w:val="nil"/>
            </w:tcBorders>
            <w:shd w:val="clear" w:color="000000" w:fill="FFFFFF"/>
            <w:noWrap/>
            <w:vAlign w:val="bottom"/>
            <w:hideMark/>
          </w:tcPr>
          <w:p w14:paraId="6E4C7B41" w14:textId="77777777" w:rsidR="00014150" w:rsidRPr="00362CD3" w:rsidRDefault="00014150" w:rsidP="00014150">
            <w:pPr>
              <w:keepNext/>
              <w:keepLines/>
              <w:widowControl/>
              <w:autoSpaceDE/>
              <w:autoSpaceDN/>
              <w:adjustRightInd/>
              <w:jc w:val="center"/>
              <w:rPr>
                <w:b/>
                <w:bCs/>
                <w:color w:val="000000"/>
                <w:sz w:val="22"/>
                <w:szCs w:val="22"/>
              </w:rPr>
            </w:pPr>
            <w:r w:rsidRPr="00362CD3">
              <w:rPr>
                <w:b/>
                <w:bCs/>
                <w:color w:val="000000"/>
                <w:sz w:val="22"/>
                <w:szCs w:val="22"/>
              </w:rPr>
              <w:t xml:space="preserve"> Total Residential Customers </w:t>
            </w:r>
          </w:p>
        </w:tc>
        <w:tc>
          <w:tcPr>
            <w:tcW w:w="1060" w:type="dxa"/>
            <w:tcBorders>
              <w:top w:val="nil"/>
              <w:left w:val="nil"/>
              <w:bottom w:val="nil"/>
              <w:right w:val="nil"/>
            </w:tcBorders>
            <w:shd w:val="clear" w:color="000000" w:fill="FFFFFF"/>
            <w:noWrap/>
            <w:vAlign w:val="bottom"/>
            <w:hideMark/>
          </w:tcPr>
          <w:p w14:paraId="07214DF3"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nil"/>
              <w:right w:val="nil"/>
            </w:tcBorders>
            <w:shd w:val="clear" w:color="000000" w:fill="FFFFFF"/>
            <w:noWrap/>
            <w:vAlign w:val="bottom"/>
            <w:hideMark/>
          </w:tcPr>
          <w:p w14:paraId="23B814F5"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6808BEE3"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328FFA09"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54C6C0A1" w14:textId="77777777" w:rsidTr="000B616F">
        <w:trPr>
          <w:trHeight w:val="280"/>
          <w:jc w:val="center"/>
        </w:trPr>
        <w:tc>
          <w:tcPr>
            <w:tcW w:w="416" w:type="dxa"/>
            <w:tcBorders>
              <w:top w:val="nil"/>
              <w:left w:val="single" w:sz="8" w:space="0" w:color="auto"/>
              <w:bottom w:val="nil"/>
              <w:right w:val="nil"/>
            </w:tcBorders>
            <w:shd w:val="clear" w:color="000000" w:fill="FFFFFF"/>
            <w:noWrap/>
            <w:vAlign w:val="bottom"/>
            <w:hideMark/>
          </w:tcPr>
          <w:p w14:paraId="0C525869"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nil"/>
              <w:right w:val="nil"/>
            </w:tcBorders>
            <w:shd w:val="clear" w:color="000000" w:fill="FFFFFF"/>
            <w:noWrap/>
            <w:vAlign w:val="bottom"/>
            <w:hideMark/>
          </w:tcPr>
          <w:p w14:paraId="4E167BED"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nil"/>
              <w:right w:val="nil"/>
            </w:tcBorders>
            <w:shd w:val="clear" w:color="000000" w:fill="FFFFFF"/>
            <w:noWrap/>
            <w:vAlign w:val="bottom"/>
            <w:hideMark/>
          </w:tcPr>
          <w:p w14:paraId="4F9D0D63" w14:textId="77777777" w:rsidR="00014150" w:rsidRPr="00362CD3" w:rsidRDefault="00014150" w:rsidP="00014150">
            <w:pPr>
              <w:keepNext/>
              <w:keepLines/>
              <w:widowControl/>
              <w:autoSpaceDE/>
              <w:autoSpaceDN/>
              <w:adjustRightInd/>
              <w:jc w:val="right"/>
              <w:rPr>
                <w:color w:val="000000"/>
                <w:sz w:val="22"/>
                <w:szCs w:val="22"/>
              </w:rPr>
            </w:pPr>
            <w:r w:rsidRPr="00362CD3">
              <w:rPr>
                <w:color w:val="000000"/>
                <w:sz w:val="22"/>
                <w:szCs w:val="22"/>
              </w:rPr>
              <w:t xml:space="preserve"> 1,392,108 </w:t>
            </w:r>
          </w:p>
        </w:tc>
        <w:tc>
          <w:tcPr>
            <w:tcW w:w="1060" w:type="dxa"/>
            <w:tcBorders>
              <w:top w:val="nil"/>
              <w:left w:val="nil"/>
              <w:bottom w:val="nil"/>
              <w:right w:val="nil"/>
            </w:tcBorders>
            <w:shd w:val="clear" w:color="000000" w:fill="FFFFFF"/>
            <w:noWrap/>
            <w:vAlign w:val="bottom"/>
            <w:hideMark/>
          </w:tcPr>
          <w:p w14:paraId="57176415"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nil"/>
              <w:right w:val="nil"/>
            </w:tcBorders>
            <w:shd w:val="clear" w:color="000000" w:fill="FFFFFF"/>
            <w:noWrap/>
            <w:vAlign w:val="bottom"/>
            <w:hideMark/>
          </w:tcPr>
          <w:p w14:paraId="376760A8"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nil"/>
              <w:right w:val="nil"/>
            </w:tcBorders>
            <w:shd w:val="clear" w:color="000000" w:fill="FFFFFF"/>
            <w:noWrap/>
            <w:vAlign w:val="bottom"/>
            <w:hideMark/>
          </w:tcPr>
          <w:p w14:paraId="13F3DD82"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nil"/>
              <w:right w:val="single" w:sz="8" w:space="0" w:color="auto"/>
            </w:tcBorders>
            <w:shd w:val="clear" w:color="000000" w:fill="FFFFFF"/>
            <w:noWrap/>
            <w:vAlign w:val="bottom"/>
            <w:hideMark/>
          </w:tcPr>
          <w:p w14:paraId="0D857ADA"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r w:rsidR="00014150" w:rsidRPr="00362CD3" w14:paraId="5DAC61C8" w14:textId="77777777" w:rsidTr="000B616F">
        <w:trPr>
          <w:trHeight w:val="300"/>
          <w:jc w:val="center"/>
        </w:trPr>
        <w:tc>
          <w:tcPr>
            <w:tcW w:w="416" w:type="dxa"/>
            <w:tcBorders>
              <w:top w:val="nil"/>
              <w:left w:val="single" w:sz="8" w:space="0" w:color="auto"/>
              <w:bottom w:val="single" w:sz="8" w:space="0" w:color="auto"/>
              <w:right w:val="nil"/>
            </w:tcBorders>
            <w:shd w:val="clear" w:color="000000" w:fill="FFFFFF"/>
            <w:noWrap/>
            <w:vAlign w:val="bottom"/>
            <w:hideMark/>
          </w:tcPr>
          <w:p w14:paraId="67D8CC9C"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500" w:type="dxa"/>
            <w:tcBorders>
              <w:top w:val="nil"/>
              <w:left w:val="nil"/>
              <w:bottom w:val="single" w:sz="8" w:space="0" w:color="auto"/>
              <w:right w:val="nil"/>
            </w:tcBorders>
            <w:shd w:val="clear" w:color="000000" w:fill="FFFFFF"/>
            <w:noWrap/>
            <w:vAlign w:val="bottom"/>
            <w:hideMark/>
          </w:tcPr>
          <w:p w14:paraId="032E5AA3"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460" w:type="dxa"/>
            <w:tcBorders>
              <w:top w:val="nil"/>
              <w:left w:val="nil"/>
              <w:bottom w:val="single" w:sz="8" w:space="0" w:color="auto"/>
              <w:right w:val="nil"/>
            </w:tcBorders>
            <w:shd w:val="clear" w:color="000000" w:fill="FFFFFF"/>
            <w:noWrap/>
            <w:vAlign w:val="bottom"/>
            <w:hideMark/>
          </w:tcPr>
          <w:p w14:paraId="2457CA27"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single" w:sz="8" w:space="0" w:color="auto"/>
              <w:right w:val="nil"/>
            </w:tcBorders>
            <w:shd w:val="clear" w:color="000000" w:fill="FFFFFF"/>
            <w:noWrap/>
            <w:vAlign w:val="bottom"/>
            <w:hideMark/>
          </w:tcPr>
          <w:p w14:paraId="56F2F0B8"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060" w:type="dxa"/>
            <w:tcBorders>
              <w:top w:val="nil"/>
              <w:left w:val="nil"/>
              <w:bottom w:val="single" w:sz="8" w:space="0" w:color="auto"/>
              <w:right w:val="nil"/>
            </w:tcBorders>
            <w:shd w:val="clear" w:color="000000" w:fill="FFFFFF"/>
            <w:noWrap/>
            <w:vAlign w:val="bottom"/>
            <w:hideMark/>
          </w:tcPr>
          <w:p w14:paraId="41099650"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1148" w:type="dxa"/>
            <w:tcBorders>
              <w:top w:val="nil"/>
              <w:left w:val="nil"/>
              <w:bottom w:val="single" w:sz="8" w:space="0" w:color="auto"/>
              <w:right w:val="nil"/>
            </w:tcBorders>
            <w:shd w:val="clear" w:color="000000" w:fill="FFFFFF"/>
            <w:noWrap/>
            <w:vAlign w:val="bottom"/>
            <w:hideMark/>
          </w:tcPr>
          <w:p w14:paraId="27D8623E"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c>
          <w:tcPr>
            <w:tcW w:w="361" w:type="dxa"/>
            <w:tcBorders>
              <w:top w:val="nil"/>
              <w:left w:val="nil"/>
              <w:bottom w:val="single" w:sz="8" w:space="0" w:color="auto"/>
              <w:right w:val="single" w:sz="8" w:space="0" w:color="auto"/>
            </w:tcBorders>
            <w:shd w:val="clear" w:color="000000" w:fill="FFFFFF"/>
            <w:noWrap/>
            <w:vAlign w:val="bottom"/>
            <w:hideMark/>
          </w:tcPr>
          <w:p w14:paraId="333D9C92" w14:textId="77777777" w:rsidR="00014150" w:rsidRPr="00362CD3" w:rsidRDefault="00014150" w:rsidP="00014150">
            <w:pPr>
              <w:keepNext/>
              <w:keepLines/>
              <w:widowControl/>
              <w:autoSpaceDE/>
              <w:autoSpaceDN/>
              <w:adjustRightInd/>
              <w:rPr>
                <w:color w:val="000000"/>
                <w:sz w:val="22"/>
                <w:szCs w:val="22"/>
              </w:rPr>
            </w:pPr>
            <w:r w:rsidRPr="00362CD3">
              <w:rPr>
                <w:color w:val="000000"/>
                <w:sz w:val="22"/>
                <w:szCs w:val="22"/>
              </w:rPr>
              <w:t> </w:t>
            </w:r>
          </w:p>
        </w:tc>
      </w:tr>
    </w:tbl>
    <w:p w14:paraId="39302034" w14:textId="77777777" w:rsidR="00A005B7" w:rsidRDefault="00A005B7" w:rsidP="00A005B7">
      <w:pPr>
        <w:spacing w:line="480" w:lineRule="auto"/>
        <w:ind w:left="720" w:hanging="720"/>
      </w:pPr>
      <w:r w:rsidRPr="00055791">
        <w:t xml:space="preserve"> </w:t>
      </w:r>
      <w:r>
        <w:tab/>
      </w:r>
    </w:p>
    <w:p w14:paraId="06504FF9" w14:textId="77777777" w:rsidR="00A005B7" w:rsidRPr="00A21688" w:rsidRDefault="00A005B7" w:rsidP="00A21688">
      <w:pPr>
        <w:spacing w:line="480" w:lineRule="auto"/>
        <w:ind w:left="720"/>
      </w:pPr>
      <w:r>
        <w:t>CL&amp;P serves 655,326</w:t>
      </w:r>
      <w:r w:rsidRPr="00055791">
        <w:t xml:space="preserve"> </w:t>
      </w:r>
      <w:r>
        <w:t xml:space="preserve">residential </w:t>
      </w:r>
      <w:r w:rsidRPr="00055791">
        <w:t>customers with standard se</w:t>
      </w:r>
      <w:r>
        <w:t xml:space="preserve">rvice, and bills on behalf of 449,027 residential </w:t>
      </w:r>
      <w:r w:rsidRPr="00055791">
        <w:t>customers of</w:t>
      </w:r>
      <w:r w:rsidR="00A93FF2">
        <w:t xml:space="preserve"> Supplier</w:t>
      </w:r>
      <w:r w:rsidRPr="00055791">
        <w:t>s.</w:t>
      </w:r>
      <w:r>
        <w:rPr>
          <w:rStyle w:val="FootnoteReference"/>
        </w:rPr>
        <w:footnoteReference w:id="41"/>
      </w:r>
      <w:r>
        <w:t xml:space="preserve">  UI serves 150,734 </w:t>
      </w:r>
      <w:r w:rsidRPr="00055791">
        <w:t xml:space="preserve">customers with standard </w:t>
      </w:r>
      <w:r>
        <w:t>service and bills on behalf of 137,021 residential</w:t>
      </w:r>
      <w:r w:rsidRPr="00055791">
        <w:t xml:space="preserve"> customers of</w:t>
      </w:r>
      <w:r w:rsidR="00A93FF2">
        <w:t xml:space="preserve"> Supplier</w:t>
      </w:r>
      <w:r w:rsidRPr="00055791">
        <w:t>s.</w:t>
      </w:r>
      <w:r>
        <w:rPr>
          <w:rStyle w:val="FootnoteReference"/>
        </w:rPr>
        <w:footnoteReference w:id="42"/>
      </w:r>
      <w:r w:rsidRPr="00055791">
        <w:t xml:space="preserve"> </w:t>
      </w:r>
    </w:p>
    <w:p w14:paraId="5218B835" w14:textId="77777777" w:rsidR="00C216BD" w:rsidRDefault="00A005B7" w:rsidP="00A005B7">
      <w:pPr>
        <w:spacing w:line="480" w:lineRule="auto"/>
        <w:ind w:left="720" w:hanging="720"/>
        <w:rPr>
          <w:b/>
        </w:rPr>
      </w:pPr>
      <w:r w:rsidRPr="00AA2E82">
        <w:rPr>
          <w:b/>
        </w:rPr>
        <w:t>Q:</w:t>
      </w:r>
      <w:r w:rsidRPr="00AA2E82">
        <w:rPr>
          <w:b/>
        </w:rPr>
        <w:tab/>
      </w:r>
      <w:r>
        <w:rPr>
          <w:b/>
        </w:rPr>
        <w:t xml:space="preserve">Have you reviewed </w:t>
      </w:r>
      <w:r w:rsidR="00C61C55">
        <w:rPr>
          <w:b/>
        </w:rPr>
        <w:t xml:space="preserve">data responses from </w:t>
      </w:r>
      <w:r>
        <w:rPr>
          <w:b/>
        </w:rPr>
        <w:t xml:space="preserve">CL&amp;P </w:t>
      </w:r>
      <w:r w:rsidR="00C61C55">
        <w:rPr>
          <w:b/>
        </w:rPr>
        <w:t>about the rates</w:t>
      </w:r>
      <w:r w:rsidR="00A93FF2">
        <w:rPr>
          <w:b/>
        </w:rPr>
        <w:t xml:space="preserve"> Supplier</w:t>
      </w:r>
      <w:r w:rsidR="00C61C55">
        <w:rPr>
          <w:b/>
        </w:rPr>
        <w:t>s</w:t>
      </w:r>
      <w:r w:rsidR="0046188C">
        <w:rPr>
          <w:b/>
        </w:rPr>
        <w:t xml:space="preserve"> </w:t>
      </w:r>
      <w:r w:rsidR="00C61C55">
        <w:rPr>
          <w:b/>
        </w:rPr>
        <w:t>charged to customers</w:t>
      </w:r>
      <w:r w:rsidR="0046188C">
        <w:rPr>
          <w:b/>
        </w:rPr>
        <w:t xml:space="preserve">? </w:t>
      </w:r>
    </w:p>
    <w:p w14:paraId="195F9E4D" w14:textId="77777777" w:rsidR="00A005B7" w:rsidRDefault="00A005B7" w:rsidP="00A005B7">
      <w:pPr>
        <w:spacing w:line="480" w:lineRule="auto"/>
        <w:ind w:left="720" w:hanging="720"/>
      </w:pPr>
      <w:r>
        <w:t>A:</w:t>
      </w:r>
      <w:r>
        <w:tab/>
        <w:t>Yes.</w:t>
      </w:r>
    </w:p>
    <w:p w14:paraId="0448A9AC" w14:textId="77777777" w:rsidR="00A005B7" w:rsidRDefault="00A005B7" w:rsidP="00A005B7">
      <w:pPr>
        <w:spacing w:line="480" w:lineRule="auto"/>
        <w:ind w:left="720" w:hanging="720"/>
        <w:rPr>
          <w:b/>
        </w:rPr>
      </w:pPr>
      <w:r w:rsidRPr="00AA2E82">
        <w:rPr>
          <w:b/>
        </w:rPr>
        <w:t xml:space="preserve">Q.  </w:t>
      </w:r>
      <w:r w:rsidRPr="00AA2E82">
        <w:rPr>
          <w:b/>
        </w:rPr>
        <w:tab/>
      </w:r>
      <w:r>
        <w:rPr>
          <w:b/>
        </w:rPr>
        <w:t xml:space="preserve">Can you </w:t>
      </w:r>
      <w:r w:rsidR="00C61C55">
        <w:rPr>
          <w:b/>
        </w:rPr>
        <w:t>indicate generally which</w:t>
      </w:r>
      <w:r>
        <w:rPr>
          <w:b/>
        </w:rPr>
        <w:t xml:space="preserve"> materials you reviewed</w:t>
      </w:r>
      <w:r w:rsidRPr="00AA2E82">
        <w:rPr>
          <w:b/>
        </w:rPr>
        <w:t xml:space="preserve">?  </w:t>
      </w:r>
    </w:p>
    <w:p w14:paraId="72A1D9B6" w14:textId="77777777" w:rsidR="00A005B7" w:rsidRPr="00141157" w:rsidRDefault="00A005B7" w:rsidP="00A005B7">
      <w:pPr>
        <w:spacing w:line="480" w:lineRule="auto"/>
        <w:ind w:left="720" w:hanging="720"/>
      </w:pPr>
      <w:r w:rsidRPr="00141157">
        <w:t>A:</w:t>
      </w:r>
      <w:r w:rsidRPr="00141157">
        <w:tab/>
      </w:r>
      <w:r w:rsidR="004319B1">
        <w:t>We</w:t>
      </w:r>
      <w:r>
        <w:t xml:space="preserve"> reviewed the materials CL&amp;P provided in response to OCC-001 through OCC-010.</w:t>
      </w:r>
    </w:p>
    <w:p w14:paraId="462A1E17" w14:textId="77777777" w:rsidR="00A005B7" w:rsidRPr="00571131" w:rsidRDefault="00A005B7" w:rsidP="00A005B7">
      <w:pPr>
        <w:spacing w:line="480" w:lineRule="auto"/>
        <w:ind w:left="720" w:hanging="720"/>
        <w:rPr>
          <w:b/>
        </w:rPr>
      </w:pPr>
      <w:r>
        <w:rPr>
          <w:b/>
        </w:rPr>
        <w:t>Q:</w:t>
      </w:r>
      <w:r>
        <w:rPr>
          <w:b/>
        </w:rPr>
        <w:tab/>
        <w:t xml:space="preserve">Did you </w:t>
      </w:r>
      <w:r w:rsidRPr="00571131">
        <w:rPr>
          <w:b/>
        </w:rPr>
        <w:t xml:space="preserve">review </w:t>
      </w:r>
      <w:r w:rsidR="00E369EE" w:rsidRPr="00571131">
        <w:rPr>
          <w:b/>
        </w:rPr>
        <w:t>confidential</w:t>
      </w:r>
      <w:r w:rsidRPr="00571131">
        <w:rPr>
          <w:b/>
        </w:rPr>
        <w:t xml:space="preserve"> data as well?</w:t>
      </w:r>
    </w:p>
    <w:p w14:paraId="58D145AD" w14:textId="77777777" w:rsidR="00A005B7" w:rsidRDefault="00A005B7" w:rsidP="00A005B7">
      <w:pPr>
        <w:spacing w:line="480" w:lineRule="auto"/>
        <w:ind w:left="720" w:hanging="720"/>
      </w:pPr>
      <w:r w:rsidRPr="00571131">
        <w:t xml:space="preserve">A.  </w:t>
      </w:r>
      <w:r w:rsidRPr="00571131">
        <w:tab/>
        <w:t xml:space="preserve">Yes. </w:t>
      </w:r>
      <w:r w:rsidR="004319B1" w:rsidRPr="00571131">
        <w:t xml:space="preserve"> W</w:t>
      </w:r>
      <w:r w:rsidR="008B6DBC" w:rsidRPr="00571131">
        <w:t xml:space="preserve">e </w:t>
      </w:r>
      <w:r w:rsidRPr="00571131">
        <w:t xml:space="preserve">reviewed, in particular, the </w:t>
      </w:r>
      <w:r w:rsidR="00E369EE" w:rsidRPr="00571131">
        <w:t>confidential</w:t>
      </w:r>
      <w:r w:rsidRPr="00571131">
        <w:t xml:space="preserve"> attachments to responses that CL&amp;P provided to OCC-01, OCC-06, and OCC-07.</w:t>
      </w:r>
    </w:p>
    <w:p w14:paraId="6F6AD835" w14:textId="77777777" w:rsidR="00A005B7" w:rsidRDefault="00A005B7" w:rsidP="00A005B7">
      <w:pPr>
        <w:spacing w:line="480" w:lineRule="auto"/>
        <w:ind w:left="720" w:hanging="720"/>
        <w:rPr>
          <w:b/>
        </w:rPr>
      </w:pPr>
      <w:r>
        <w:rPr>
          <w:b/>
        </w:rPr>
        <w:t>Q:</w:t>
      </w:r>
      <w:r>
        <w:rPr>
          <w:b/>
        </w:rPr>
        <w:tab/>
        <w:t>Do you have initial observations?</w:t>
      </w:r>
    </w:p>
    <w:p w14:paraId="70F56BB4" w14:textId="77777777" w:rsidR="00A005B7" w:rsidRPr="00263A89" w:rsidRDefault="00A005B7" w:rsidP="00A005B7">
      <w:pPr>
        <w:spacing w:line="480" w:lineRule="auto"/>
        <w:ind w:left="720" w:hanging="720"/>
      </w:pPr>
      <w:r w:rsidRPr="00EB51E0">
        <w:t>A:</w:t>
      </w:r>
      <w:r w:rsidRPr="00EB51E0">
        <w:tab/>
        <w:t xml:space="preserve">In </w:t>
      </w:r>
      <w:r>
        <w:t xml:space="preserve">the </w:t>
      </w:r>
      <w:r w:rsidR="00E369EE">
        <w:t>confidential</w:t>
      </w:r>
      <w:r>
        <w:t xml:space="preserve"> attachment to CL&amp;P’s </w:t>
      </w:r>
      <w:r w:rsidRPr="00EB51E0">
        <w:t>response to OCC-06, CL&amp;P provided the number of customers, by service plan and billing type, for</w:t>
      </w:r>
      <w:r w:rsidR="00EF0A1E">
        <w:rPr>
          <w:b/>
        </w:rPr>
        <w:t xml:space="preserve"> </w:t>
      </w:r>
      <w:r w:rsidR="00EF0A1E" w:rsidRPr="00EF0A1E">
        <w:t>40</w:t>
      </w:r>
      <w:r w:rsidR="00EF0A1E">
        <w:rPr>
          <w:b/>
        </w:rPr>
        <w:t xml:space="preserve"> </w:t>
      </w:r>
      <w:r w:rsidR="00A93FF2" w:rsidRPr="00263A89">
        <w:t>Supplier</w:t>
      </w:r>
      <w:r w:rsidRPr="00263A89">
        <w:t>s.</w:t>
      </w:r>
      <w:r w:rsidRPr="00EB51E0">
        <w:t xml:space="preserve">  The total number of customers encompassed by the response</w:t>
      </w:r>
      <w:r>
        <w:t xml:space="preserve"> (which provides data as of January 7, 2014) </w:t>
      </w:r>
      <w:r w:rsidRPr="00EB51E0">
        <w:t>is 449,027.</w:t>
      </w:r>
      <w:r>
        <w:rPr>
          <w:b/>
        </w:rPr>
        <w:t xml:space="preserve">  </w:t>
      </w:r>
      <w:r>
        <w:t xml:space="preserve">The </w:t>
      </w:r>
      <w:r w:rsidR="0046188C">
        <w:t xml:space="preserve">confidential </w:t>
      </w:r>
      <w:r>
        <w:t>response to OCC-01 provides every</w:t>
      </w:r>
      <w:r w:rsidR="00A93FF2">
        <w:t xml:space="preserve"> Supplier</w:t>
      </w:r>
      <w:r>
        <w:t xml:space="preserve"> price that was charged in a billing period and the number of customers for any given price for each</w:t>
      </w:r>
      <w:r w:rsidR="00A93FF2">
        <w:t xml:space="preserve"> Supplier</w:t>
      </w:r>
      <w:r>
        <w:t xml:space="preserve">, individually.  This encompasses a slightly different number of customers and time period: 440,291 in the month of September 2013.  The data in OCC-01 encompasses 37 </w:t>
      </w:r>
      <w:r w:rsidR="00A93FF2" w:rsidRPr="00263A89">
        <w:t>Supplier</w:t>
      </w:r>
      <w:r w:rsidRPr="00263A89">
        <w:t xml:space="preserve">s.  </w:t>
      </w:r>
    </w:p>
    <w:p w14:paraId="1231BB60" w14:textId="77777777" w:rsidR="00A005B7" w:rsidRDefault="00A005B7" w:rsidP="00A005B7">
      <w:pPr>
        <w:spacing w:line="480" w:lineRule="auto"/>
        <w:ind w:left="720" w:hanging="720"/>
        <w:rPr>
          <w:b/>
        </w:rPr>
      </w:pPr>
      <w:r>
        <w:rPr>
          <w:b/>
        </w:rPr>
        <w:t>Q:</w:t>
      </w:r>
      <w:r>
        <w:rPr>
          <w:b/>
        </w:rPr>
        <w:tab/>
        <w:t>Do you have any public information about the magnitude of customers that are being served in CL&amp;P’s operating territory?</w:t>
      </w:r>
    </w:p>
    <w:p w14:paraId="18EE0368" w14:textId="77777777" w:rsidR="00A21688" w:rsidRDefault="00A005B7" w:rsidP="00707255">
      <w:pPr>
        <w:spacing w:line="480" w:lineRule="auto"/>
        <w:ind w:left="720" w:hanging="720"/>
      </w:pPr>
      <w:r>
        <w:t>A:</w:t>
      </w:r>
      <w:r>
        <w:tab/>
        <w:t xml:space="preserve">Yes.  Table </w:t>
      </w:r>
      <w:r w:rsidR="001C43F9">
        <w:t>11</w:t>
      </w:r>
      <w:r>
        <w:t xml:space="preserve"> below shows the number of heating</w:t>
      </w:r>
      <w:r w:rsidR="00A21688">
        <w:t xml:space="preserve"> and</w:t>
      </w:r>
      <w:r>
        <w:t xml:space="preserve"> non-heating customers as well as hardship designations (</w:t>
      </w:r>
      <w:r w:rsidRPr="00A129F9">
        <w:rPr>
          <w:i/>
        </w:rPr>
        <w:t>i.e.</w:t>
      </w:r>
      <w:r w:rsidR="00C61C55" w:rsidRPr="00A129F9">
        <w:rPr>
          <w:i/>
        </w:rPr>
        <w:t>,</w:t>
      </w:r>
      <w:r w:rsidRPr="00A129F9">
        <w:rPr>
          <w:i/>
        </w:rPr>
        <w:t xml:space="preserve"> </w:t>
      </w:r>
      <w:r>
        <w:t>indicating that the customer cannot be turned off under certain situations) for CL&amp;P and the</w:t>
      </w:r>
      <w:r w:rsidR="00A93FF2">
        <w:t xml:space="preserve"> Supplier</w:t>
      </w:r>
      <w:r>
        <w:t xml:space="preserve">s for which CL&amp;P provides </w:t>
      </w:r>
      <w:r w:rsidR="00C61C55">
        <w:t>distribution services.</w:t>
      </w:r>
      <w:r w:rsidR="00045A04">
        <w:rPr>
          <w:rStyle w:val="FootnoteReference"/>
        </w:rPr>
        <w:footnoteReference w:id="43"/>
      </w:r>
      <w:r>
        <w:t xml:space="preserve">  </w:t>
      </w:r>
      <w:r w:rsidRPr="00517973">
        <w:t xml:space="preserve">The number of customers differs slightly from the more detailed </w:t>
      </w:r>
      <w:r w:rsidR="00E369EE" w:rsidRPr="00517973">
        <w:t>confidential</w:t>
      </w:r>
      <w:r w:rsidRPr="00517973">
        <w:t xml:space="preserve"> data</w:t>
      </w:r>
      <w:r w:rsidR="008B6DBC">
        <w:t xml:space="preserve"> we </w:t>
      </w:r>
      <w:r w:rsidRPr="00517973">
        <w:t>present below derived from CL&amp;P’s response to OCC-001 because the public answers refer to the customer base as of January 2014.</w:t>
      </w:r>
      <w:r w:rsidR="000E5AA3">
        <w:t xml:space="preserve">  We note that the number of customers served by a supplier is not considered confidential, as it is required by PURA to be filed as a compliance filing in Docket No. 06-10-22.</w:t>
      </w:r>
    </w:p>
    <w:p w14:paraId="7E0562BA" w14:textId="77777777" w:rsidR="00A005B7" w:rsidRDefault="00A005B7" w:rsidP="00A005B7">
      <w:pPr>
        <w:keepNext/>
        <w:keepLines/>
        <w:ind w:left="720" w:hanging="720"/>
        <w:jc w:val="center"/>
        <w:rPr>
          <w:b/>
        </w:rPr>
      </w:pPr>
      <w:r>
        <w:rPr>
          <w:b/>
        </w:rPr>
        <w:t xml:space="preserve">Table </w:t>
      </w:r>
      <w:r w:rsidR="0046188C">
        <w:rPr>
          <w:b/>
        </w:rPr>
        <w:t>1</w:t>
      </w:r>
      <w:r w:rsidR="001C43F9">
        <w:rPr>
          <w:b/>
        </w:rPr>
        <w:t>1</w:t>
      </w:r>
      <w:r>
        <w:rPr>
          <w:rStyle w:val="FootnoteReference"/>
          <w:b/>
        </w:rPr>
        <w:footnoteReference w:id="44"/>
      </w:r>
    </w:p>
    <w:p w14:paraId="2FA97162" w14:textId="77777777" w:rsidR="00A005B7" w:rsidRDefault="00A005B7" w:rsidP="00A005B7">
      <w:pPr>
        <w:keepNext/>
        <w:keepLines/>
        <w:ind w:left="720" w:hanging="720"/>
        <w:jc w:val="center"/>
        <w:rPr>
          <w:b/>
        </w:rPr>
      </w:pPr>
      <w:r>
        <w:rPr>
          <w:b/>
        </w:rPr>
        <w:t>Number and Type of Customers Billed by CL&amp;P</w:t>
      </w:r>
      <w:r w:rsidR="00980C33">
        <w:rPr>
          <w:b/>
        </w:rPr>
        <w:t xml:space="preserve"> </w:t>
      </w:r>
      <w:r>
        <w:rPr>
          <w:b/>
        </w:rPr>
        <w:t>(January 2014)</w:t>
      </w:r>
    </w:p>
    <w:p w14:paraId="126F812A" w14:textId="77777777" w:rsidR="00A005B7" w:rsidRPr="008C7562" w:rsidRDefault="00A005B7" w:rsidP="00A005B7">
      <w:pPr>
        <w:keepNext/>
        <w:keepLines/>
        <w:ind w:left="720" w:hanging="720"/>
        <w:jc w:val="center"/>
      </w:pPr>
    </w:p>
    <w:tbl>
      <w:tblPr>
        <w:tblW w:w="0" w:type="auto"/>
        <w:jc w:val="center"/>
        <w:tblLook w:val="04A0" w:firstRow="1" w:lastRow="0" w:firstColumn="1" w:lastColumn="0" w:noHBand="0" w:noVBand="1"/>
      </w:tblPr>
      <w:tblGrid>
        <w:gridCol w:w="2840"/>
        <w:gridCol w:w="1323"/>
        <w:gridCol w:w="1323"/>
        <w:gridCol w:w="1323"/>
        <w:gridCol w:w="1323"/>
      </w:tblGrid>
      <w:tr w:rsidR="00A005B7" w:rsidRPr="00140D2B" w14:paraId="5726AB28" w14:textId="77777777" w:rsidTr="00980C33">
        <w:trPr>
          <w:trHeight w:val="466"/>
          <w:jc w:val="center"/>
        </w:trPr>
        <w:tc>
          <w:tcPr>
            <w:tcW w:w="2840" w:type="dxa"/>
            <w:tcBorders>
              <w:top w:val="nil"/>
              <w:left w:val="nil"/>
              <w:bottom w:val="nil"/>
              <w:right w:val="nil"/>
            </w:tcBorders>
            <w:shd w:val="clear" w:color="auto" w:fill="auto"/>
            <w:noWrap/>
            <w:vAlign w:val="bottom"/>
            <w:hideMark/>
          </w:tcPr>
          <w:p w14:paraId="5ABAE373" w14:textId="77777777" w:rsidR="00A005B7" w:rsidRPr="00140D2B" w:rsidRDefault="00A005B7" w:rsidP="000B616F">
            <w:pPr>
              <w:keepNext/>
              <w:keepLines/>
              <w:widowControl/>
              <w:autoSpaceDE/>
              <w:autoSpaceDN/>
              <w:adjustRightInd/>
              <w:rPr>
                <w:color w:val="000000"/>
              </w:rPr>
            </w:pPr>
          </w:p>
        </w:tc>
        <w:tc>
          <w:tcPr>
            <w:tcW w:w="264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B49FA6" w14:textId="77777777" w:rsidR="00A005B7" w:rsidRPr="00140D2B" w:rsidRDefault="00A005B7" w:rsidP="000B616F">
            <w:pPr>
              <w:keepNext/>
              <w:keepLines/>
              <w:widowControl/>
              <w:autoSpaceDE/>
              <w:autoSpaceDN/>
              <w:adjustRightInd/>
              <w:jc w:val="center"/>
              <w:rPr>
                <w:b/>
                <w:bCs/>
                <w:color w:val="000000"/>
              </w:rPr>
            </w:pPr>
            <w:r w:rsidRPr="00140D2B">
              <w:rPr>
                <w:b/>
                <w:bCs/>
                <w:color w:val="000000"/>
              </w:rPr>
              <w:t>CL&amp;P</w:t>
            </w:r>
          </w:p>
        </w:tc>
        <w:tc>
          <w:tcPr>
            <w:tcW w:w="2646" w:type="dxa"/>
            <w:gridSpan w:val="2"/>
            <w:tcBorders>
              <w:top w:val="single" w:sz="8" w:space="0" w:color="auto"/>
              <w:left w:val="nil"/>
              <w:bottom w:val="nil"/>
              <w:right w:val="single" w:sz="8" w:space="0" w:color="000000"/>
            </w:tcBorders>
            <w:shd w:val="clear" w:color="auto" w:fill="auto"/>
            <w:vAlign w:val="center"/>
            <w:hideMark/>
          </w:tcPr>
          <w:p w14:paraId="025D7A3A" w14:textId="77777777" w:rsidR="00A005B7" w:rsidRPr="00140D2B" w:rsidRDefault="00A005B7" w:rsidP="000B616F">
            <w:pPr>
              <w:keepNext/>
              <w:keepLines/>
              <w:widowControl/>
              <w:autoSpaceDE/>
              <w:autoSpaceDN/>
              <w:adjustRightInd/>
              <w:jc w:val="center"/>
              <w:rPr>
                <w:b/>
                <w:bCs/>
                <w:color w:val="000000"/>
              </w:rPr>
            </w:pPr>
            <w:r w:rsidRPr="00140D2B">
              <w:rPr>
                <w:b/>
                <w:bCs/>
                <w:color w:val="000000"/>
              </w:rPr>
              <w:t>CL&amp;P Suppliers</w:t>
            </w:r>
          </w:p>
        </w:tc>
      </w:tr>
      <w:tr w:rsidR="00A005B7" w:rsidRPr="00140D2B" w14:paraId="504E13FE" w14:textId="77777777" w:rsidTr="00980C33">
        <w:trPr>
          <w:trHeight w:val="880"/>
          <w:jc w:val="center"/>
        </w:trPr>
        <w:tc>
          <w:tcPr>
            <w:tcW w:w="2840" w:type="dxa"/>
            <w:tcBorders>
              <w:top w:val="nil"/>
              <w:left w:val="nil"/>
              <w:bottom w:val="single" w:sz="8" w:space="0" w:color="auto"/>
              <w:right w:val="single" w:sz="8" w:space="0" w:color="auto"/>
            </w:tcBorders>
            <w:shd w:val="clear" w:color="auto" w:fill="auto"/>
            <w:vAlign w:val="center"/>
            <w:hideMark/>
          </w:tcPr>
          <w:p w14:paraId="0180FE32" w14:textId="77777777" w:rsidR="00A005B7" w:rsidRPr="00140D2B" w:rsidRDefault="00A005B7" w:rsidP="000B616F">
            <w:pPr>
              <w:keepNext/>
              <w:keepLines/>
              <w:widowControl/>
              <w:autoSpaceDE/>
              <w:autoSpaceDN/>
              <w:adjustRightInd/>
              <w:jc w:val="both"/>
              <w:rPr>
                <w:color w:val="000000"/>
              </w:rPr>
            </w:pPr>
            <w:r w:rsidRPr="00140D2B">
              <w:rPr>
                <w:color w:val="000000"/>
              </w:rPr>
              <w:t> </w:t>
            </w:r>
          </w:p>
        </w:tc>
        <w:tc>
          <w:tcPr>
            <w:tcW w:w="1323" w:type="dxa"/>
            <w:tcBorders>
              <w:top w:val="nil"/>
              <w:left w:val="nil"/>
              <w:bottom w:val="single" w:sz="8" w:space="0" w:color="auto"/>
              <w:right w:val="single" w:sz="8" w:space="0" w:color="auto"/>
            </w:tcBorders>
            <w:shd w:val="clear" w:color="auto" w:fill="auto"/>
            <w:vAlign w:val="center"/>
            <w:hideMark/>
          </w:tcPr>
          <w:p w14:paraId="4CA4746B" w14:textId="77777777" w:rsidR="00A005B7" w:rsidRPr="00140D2B" w:rsidRDefault="00A005B7" w:rsidP="000B616F">
            <w:pPr>
              <w:keepNext/>
              <w:keepLines/>
              <w:widowControl/>
              <w:autoSpaceDE/>
              <w:autoSpaceDN/>
              <w:adjustRightInd/>
              <w:jc w:val="center"/>
              <w:rPr>
                <w:b/>
                <w:bCs/>
                <w:color w:val="000000"/>
              </w:rPr>
            </w:pPr>
            <w:r w:rsidRPr="00140D2B">
              <w:rPr>
                <w:b/>
                <w:bCs/>
                <w:color w:val="000000"/>
              </w:rPr>
              <w:t>Number of Customers</w:t>
            </w:r>
          </w:p>
        </w:tc>
        <w:tc>
          <w:tcPr>
            <w:tcW w:w="1323" w:type="dxa"/>
            <w:tcBorders>
              <w:top w:val="nil"/>
              <w:left w:val="nil"/>
              <w:bottom w:val="single" w:sz="8" w:space="0" w:color="auto"/>
              <w:right w:val="single" w:sz="8" w:space="0" w:color="auto"/>
            </w:tcBorders>
            <w:shd w:val="clear" w:color="auto" w:fill="auto"/>
            <w:vAlign w:val="center"/>
            <w:hideMark/>
          </w:tcPr>
          <w:p w14:paraId="5C1305D0" w14:textId="77777777" w:rsidR="00A005B7" w:rsidRPr="00140D2B" w:rsidRDefault="00A005B7" w:rsidP="000B616F">
            <w:pPr>
              <w:keepNext/>
              <w:keepLines/>
              <w:widowControl/>
              <w:autoSpaceDE/>
              <w:autoSpaceDN/>
              <w:adjustRightInd/>
              <w:jc w:val="center"/>
              <w:rPr>
                <w:b/>
                <w:bCs/>
                <w:color w:val="000000"/>
              </w:rPr>
            </w:pPr>
            <w:r>
              <w:rPr>
                <w:b/>
                <w:bCs/>
                <w:color w:val="000000"/>
              </w:rPr>
              <w:t xml:space="preserve">Percent  </w:t>
            </w:r>
            <w:r w:rsidRPr="00140D2B">
              <w:rPr>
                <w:b/>
                <w:bCs/>
                <w:color w:val="000000"/>
              </w:rPr>
              <w:t xml:space="preserve"> of Total Customers</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14:paraId="60D2D2CE" w14:textId="77777777" w:rsidR="00A005B7" w:rsidRPr="00140D2B" w:rsidRDefault="00A005B7" w:rsidP="000B616F">
            <w:pPr>
              <w:keepNext/>
              <w:keepLines/>
              <w:widowControl/>
              <w:autoSpaceDE/>
              <w:autoSpaceDN/>
              <w:adjustRightInd/>
              <w:jc w:val="center"/>
              <w:rPr>
                <w:b/>
                <w:bCs/>
                <w:color w:val="000000"/>
              </w:rPr>
            </w:pPr>
            <w:r>
              <w:rPr>
                <w:b/>
                <w:bCs/>
                <w:color w:val="000000"/>
              </w:rPr>
              <w:t xml:space="preserve">Percent   </w:t>
            </w:r>
            <w:r w:rsidRPr="00140D2B">
              <w:rPr>
                <w:b/>
                <w:bCs/>
                <w:color w:val="000000"/>
              </w:rPr>
              <w:t>of Total Customers</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14:paraId="12EE054D" w14:textId="77777777" w:rsidR="00A005B7" w:rsidRPr="00140D2B" w:rsidRDefault="00A005B7" w:rsidP="000B616F">
            <w:pPr>
              <w:keepNext/>
              <w:keepLines/>
              <w:widowControl/>
              <w:autoSpaceDE/>
              <w:autoSpaceDN/>
              <w:adjustRightInd/>
              <w:jc w:val="center"/>
              <w:rPr>
                <w:b/>
                <w:bCs/>
                <w:color w:val="000000"/>
              </w:rPr>
            </w:pPr>
            <w:r w:rsidRPr="00140D2B">
              <w:rPr>
                <w:b/>
                <w:bCs/>
                <w:color w:val="000000"/>
              </w:rPr>
              <w:t>Number of Customers</w:t>
            </w:r>
          </w:p>
        </w:tc>
      </w:tr>
      <w:tr w:rsidR="00A005B7" w:rsidRPr="00140D2B" w14:paraId="057B40B1" w14:textId="77777777" w:rsidTr="00014150">
        <w:trPr>
          <w:cantSplit/>
          <w:trHeight w:hRule="exact" w:val="720"/>
          <w:jc w:val="center"/>
        </w:trPr>
        <w:tc>
          <w:tcPr>
            <w:tcW w:w="2840" w:type="dxa"/>
            <w:tcBorders>
              <w:top w:val="nil"/>
              <w:left w:val="single" w:sz="8" w:space="0" w:color="auto"/>
              <w:bottom w:val="single" w:sz="8" w:space="0" w:color="auto"/>
              <w:right w:val="nil"/>
            </w:tcBorders>
            <w:shd w:val="clear" w:color="auto" w:fill="auto"/>
            <w:vAlign w:val="center"/>
            <w:hideMark/>
          </w:tcPr>
          <w:p w14:paraId="5E61D9E1" w14:textId="77777777" w:rsidR="00A005B7" w:rsidRPr="00140D2B" w:rsidRDefault="00A005B7" w:rsidP="000B616F">
            <w:pPr>
              <w:keepNext/>
              <w:keepLines/>
              <w:widowControl/>
              <w:autoSpaceDE/>
              <w:autoSpaceDN/>
              <w:adjustRightInd/>
              <w:rPr>
                <w:b/>
                <w:bCs/>
                <w:color w:val="000000"/>
              </w:rPr>
            </w:pPr>
            <w:r w:rsidRPr="00140D2B">
              <w:rPr>
                <w:b/>
                <w:bCs/>
                <w:color w:val="000000"/>
              </w:rPr>
              <w:t>Total residential customers</w:t>
            </w:r>
          </w:p>
        </w:tc>
        <w:tc>
          <w:tcPr>
            <w:tcW w:w="1323" w:type="dxa"/>
            <w:tcBorders>
              <w:top w:val="nil"/>
              <w:left w:val="single" w:sz="8" w:space="0" w:color="auto"/>
              <w:bottom w:val="single" w:sz="8" w:space="0" w:color="auto"/>
              <w:right w:val="single" w:sz="8" w:space="0" w:color="auto"/>
            </w:tcBorders>
            <w:shd w:val="clear" w:color="auto" w:fill="auto"/>
            <w:vAlign w:val="center"/>
            <w:hideMark/>
          </w:tcPr>
          <w:p w14:paraId="6AF06813" w14:textId="77777777" w:rsidR="00A005B7" w:rsidRPr="00140D2B" w:rsidRDefault="00A005B7" w:rsidP="000B616F">
            <w:pPr>
              <w:keepNext/>
              <w:keepLines/>
              <w:widowControl/>
              <w:autoSpaceDE/>
              <w:autoSpaceDN/>
              <w:adjustRightInd/>
              <w:jc w:val="center"/>
              <w:rPr>
                <w:color w:val="000000"/>
              </w:rPr>
            </w:pPr>
            <w:r w:rsidRPr="00140D2B">
              <w:rPr>
                <w:color w:val="000000"/>
              </w:rPr>
              <w:t>655,326</w:t>
            </w:r>
          </w:p>
        </w:tc>
        <w:tc>
          <w:tcPr>
            <w:tcW w:w="1323" w:type="dxa"/>
            <w:tcBorders>
              <w:top w:val="nil"/>
              <w:left w:val="nil"/>
              <w:bottom w:val="single" w:sz="8" w:space="0" w:color="auto"/>
              <w:right w:val="single" w:sz="8" w:space="0" w:color="auto"/>
            </w:tcBorders>
            <w:shd w:val="clear" w:color="auto" w:fill="auto"/>
            <w:vAlign w:val="center"/>
            <w:hideMark/>
          </w:tcPr>
          <w:p w14:paraId="23D58ADA" w14:textId="77777777" w:rsidR="00A005B7" w:rsidRPr="00140D2B" w:rsidRDefault="00A005B7" w:rsidP="000B616F">
            <w:pPr>
              <w:keepNext/>
              <w:keepLines/>
              <w:widowControl/>
              <w:autoSpaceDE/>
              <w:autoSpaceDN/>
              <w:adjustRightInd/>
              <w:jc w:val="center"/>
              <w:rPr>
                <w:color w:val="000000"/>
              </w:rPr>
            </w:pPr>
            <w:r w:rsidRPr="00140D2B">
              <w:rPr>
                <w:color w:val="000000"/>
              </w:rPr>
              <w:t> </w:t>
            </w:r>
          </w:p>
        </w:tc>
        <w:tc>
          <w:tcPr>
            <w:tcW w:w="1323" w:type="dxa"/>
            <w:tcBorders>
              <w:top w:val="nil"/>
              <w:left w:val="nil"/>
              <w:bottom w:val="single" w:sz="8" w:space="0" w:color="auto"/>
              <w:right w:val="single" w:sz="8" w:space="0" w:color="auto"/>
            </w:tcBorders>
            <w:shd w:val="clear" w:color="auto" w:fill="auto"/>
            <w:vAlign w:val="center"/>
            <w:hideMark/>
          </w:tcPr>
          <w:p w14:paraId="523CA10A" w14:textId="77777777" w:rsidR="00A005B7" w:rsidRPr="00140D2B" w:rsidRDefault="00A005B7" w:rsidP="000B616F">
            <w:pPr>
              <w:keepNext/>
              <w:keepLines/>
              <w:widowControl/>
              <w:autoSpaceDE/>
              <w:autoSpaceDN/>
              <w:adjustRightInd/>
              <w:jc w:val="center"/>
              <w:rPr>
                <w:color w:val="000000"/>
              </w:rPr>
            </w:pPr>
            <w:r w:rsidRPr="00140D2B">
              <w:rPr>
                <w:color w:val="000000"/>
              </w:rPr>
              <w:t> </w:t>
            </w:r>
          </w:p>
        </w:tc>
        <w:tc>
          <w:tcPr>
            <w:tcW w:w="1323" w:type="dxa"/>
            <w:tcBorders>
              <w:top w:val="nil"/>
              <w:left w:val="nil"/>
              <w:bottom w:val="single" w:sz="8" w:space="0" w:color="auto"/>
              <w:right w:val="single" w:sz="8" w:space="0" w:color="auto"/>
            </w:tcBorders>
            <w:shd w:val="clear" w:color="auto" w:fill="auto"/>
            <w:vAlign w:val="center"/>
            <w:hideMark/>
          </w:tcPr>
          <w:p w14:paraId="7AFAE049" w14:textId="77777777" w:rsidR="00A005B7" w:rsidRPr="00140D2B" w:rsidRDefault="00A005B7" w:rsidP="000B616F">
            <w:pPr>
              <w:keepNext/>
              <w:keepLines/>
              <w:widowControl/>
              <w:autoSpaceDE/>
              <w:autoSpaceDN/>
              <w:adjustRightInd/>
              <w:jc w:val="center"/>
              <w:rPr>
                <w:color w:val="000000"/>
              </w:rPr>
            </w:pPr>
            <w:r w:rsidRPr="00140D2B">
              <w:rPr>
                <w:color w:val="000000"/>
              </w:rPr>
              <w:t>449,026</w:t>
            </w:r>
          </w:p>
        </w:tc>
      </w:tr>
      <w:tr w:rsidR="00A005B7" w:rsidRPr="00140D2B" w14:paraId="279EDC3E" w14:textId="77777777" w:rsidTr="00014150">
        <w:trPr>
          <w:cantSplit/>
          <w:trHeight w:hRule="exact" w:val="720"/>
          <w:jc w:val="center"/>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646D76A1" w14:textId="77777777" w:rsidR="00A005B7" w:rsidRPr="00140D2B" w:rsidRDefault="00A005B7" w:rsidP="000B616F">
            <w:pPr>
              <w:keepNext/>
              <w:keepLines/>
              <w:widowControl/>
              <w:autoSpaceDE/>
              <w:autoSpaceDN/>
              <w:adjustRightInd/>
              <w:rPr>
                <w:b/>
                <w:bCs/>
                <w:color w:val="000000"/>
              </w:rPr>
            </w:pPr>
            <w:r w:rsidRPr="00140D2B">
              <w:rPr>
                <w:b/>
                <w:bCs/>
                <w:color w:val="000000"/>
              </w:rPr>
              <w:t>Residential 1001 (non-space heating)</w:t>
            </w:r>
          </w:p>
        </w:tc>
        <w:tc>
          <w:tcPr>
            <w:tcW w:w="1323" w:type="dxa"/>
            <w:tcBorders>
              <w:top w:val="nil"/>
              <w:left w:val="nil"/>
              <w:bottom w:val="single" w:sz="8" w:space="0" w:color="auto"/>
              <w:right w:val="single" w:sz="8" w:space="0" w:color="auto"/>
            </w:tcBorders>
            <w:shd w:val="clear" w:color="auto" w:fill="auto"/>
            <w:vAlign w:val="center"/>
            <w:hideMark/>
          </w:tcPr>
          <w:p w14:paraId="566CDE65" w14:textId="77777777" w:rsidR="00A005B7" w:rsidRPr="00140D2B" w:rsidRDefault="00A005B7" w:rsidP="000B616F">
            <w:pPr>
              <w:keepNext/>
              <w:keepLines/>
              <w:widowControl/>
              <w:autoSpaceDE/>
              <w:autoSpaceDN/>
              <w:adjustRightInd/>
              <w:jc w:val="center"/>
              <w:rPr>
                <w:color w:val="000000"/>
              </w:rPr>
            </w:pPr>
            <w:r w:rsidRPr="00140D2B">
              <w:rPr>
                <w:color w:val="000000"/>
              </w:rPr>
              <w:t>573,402</w:t>
            </w:r>
          </w:p>
        </w:tc>
        <w:tc>
          <w:tcPr>
            <w:tcW w:w="1323" w:type="dxa"/>
            <w:tcBorders>
              <w:top w:val="nil"/>
              <w:left w:val="nil"/>
              <w:bottom w:val="single" w:sz="8" w:space="0" w:color="auto"/>
              <w:right w:val="single" w:sz="8" w:space="0" w:color="auto"/>
            </w:tcBorders>
            <w:shd w:val="clear" w:color="auto" w:fill="auto"/>
            <w:vAlign w:val="center"/>
            <w:hideMark/>
          </w:tcPr>
          <w:p w14:paraId="299CB5B7" w14:textId="77777777" w:rsidR="00A005B7" w:rsidRPr="00140D2B" w:rsidRDefault="00A005B7" w:rsidP="000B616F">
            <w:pPr>
              <w:keepNext/>
              <w:keepLines/>
              <w:widowControl/>
              <w:autoSpaceDE/>
              <w:autoSpaceDN/>
              <w:adjustRightInd/>
              <w:jc w:val="center"/>
              <w:rPr>
                <w:color w:val="000000"/>
              </w:rPr>
            </w:pPr>
            <w:r w:rsidRPr="00140D2B">
              <w:rPr>
                <w:color w:val="000000"/>
              </w:rPr>
              <w:t>87%</w:t>
            </w:r>
          </w:p>
        </w:tc>
        <w:tc>
          <w:tcPr>
            <w:tcW w:w="1323" w:type="dxa"/>
            <w:tcBorders>
              <w:top w:val="nil"/>
              <w:left w:val="nil"/>
              <w:bottom w:val="single" w:sz="8" w:space="0" w:color="auto"/>
              <w:right w:val="single" w:sz="8" w:space="0" w:color="auto"/>
            </w:tcBorders>
            <w:shd w:val="clear" w:color="auto" w:fill="auto"/>
            <w:vAlign w:val="center"/>
            <w:hideMark/>
          </w:tcPr>
          <w:p w14:paraId="7BF3EBF8" w14:textId="77777777" w:rsidR="00A005B7" w:rsidRPr="00140D2B" w:rsidRDefault="00A005B7" w:rsidP="000B616F">
            <w:pPr>
              <w:keepNext/>
              <w:keepLines/>
              <w:widowControl/>
              <w:autoSpaceDE/>
              <w:autoSpaceDN/>
              <w:adjustRightInd/>
              <w:jc w:val="center"/>
              <w:rPr>
                <w:color w:val="000000"/>
              </w:rPr>
            </w:pPr>
            <w:r w:rsidRPr="00140D2B">
              <w:rPr>
                <w:color w:val="000000"/>
              </w:rPr>
              <w:t>87%</w:t>
            </w:r>
          </w:p>
        </w:tc>
        <w:tc>
          <w:tcPr>
            <w:tcW w:w="1323" w:type="dxa"/>
            <w:tcBorders>
              <w:top w:val="nil"/>
              <w:left w:val="nil"/>
              <w:bottom w:val="single" w:sz="8" w:space="0" w:color="auto"/>
              <w:right w:val="single" w:sz="8" w:space="0" w:color="auto"/>
            </w:tcBorders>
            <w:shd w:val="clear" w:color="auto" w:fill="auto"/>
            <w:vAlign w:val="center"/>
            <w:hideMark/>
          </w:tcPr>
          <w:p w14:paraId="57B075AA" w14:textId="77777777" w:rsidR="00A005B7" w:rsidRPr="00140D2B" w:rsidRDefault="00A005B7" w:rsidP="000B616F">
            <w:pPr>
              <w:keepNext/>
              <w:keepLines/>
              <w:widowControl/>
              <w:autoSpaceDE/>
              <w:autoSpaceDN/>
              <w:adjustRightInd/>
              <w:jc w:val="center"/>
              <w:rPr>
                <w:color w:val="000000"/>
              </w:rPr>
            </w:pPr>
            <w:r w:rsidRPr="00140D2B">
              <w:rPr>
                <w:color w:val="000000"/>
              </w:rPr>
              <w:t>390,213</w:t>
            </w:r>
          </w:p>
        </w:tc>
      </w:tr>
      <w:tr w:rsidR="00A005B7" w:rsidRPr="00140D2B" w14:paraId="00D3AAF2" w14:textId="77777777" w:rsidTr="00014150">
        <w:trPr>
          <w:cantSplit/>
          <w:trHeight w:hRule="exact" w:val="720"/>
          <w:jc w:val="center"/>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1473F611" w14:textId="77777777" w:rsidR="00A005B7" w:rsidRPr="00140D2B" w:rsidRDefault="00A005B7" w:rsidP="000B616F">
            <w:pPr>
              <w:keepNext/>
              <w:keepLines/>
              <w:widowControl/>
              <w:autoSpaceDE/>
              <w:autoSpaceDN/>
              <w:adjustRightInd/>
              <w:rPr>
                <w:b/>
                <w:bCs/>
                <w:color w:val="000000"/>
              </w:rPr>
            </w:pPr>
            <w:r w:rsidRPr="00140D2B">
              <w:rPr>
                <w:b/>
                <w:bCs/>
                <w:color w:val="000000"/>
              </w:rPr>
              <w:t>Residential 1005 (heating)</w:t>
            </w:r>
          </w:p>
        </w:tc>
        <w:tc>
          <w:tcPr>
            <w:tcW w:w="1323" w:type="dxa"/>
            <w:tcBorders>
              <w:top w:val="nil"/>
              <w:left w:val="nil"/>
              <w:bottom w:val="single" w:sz="8" w:space="0" w:color="auto"/>
              <w:right w:val="single" w:sz="8" w:space="0" w:color="auto"/>
            </w:tcBorders>
            <w:shd w:val="clear" w:color="auto" w:fill="auto"/>
            <w:vAlign w:val="center"/>
            <w:hideMark/>
          </w:tcPr>
          <w:p w14:paraId="3FB39EDA" w14:textId="77777777" w:rsidR="00A005B7" w:rsidRPr="00140D2B" w:rsidRDefault="00A005B7" w:rsidP="000B616F">
            <w:pPr>
              <w:keepNext/>
              <w:keepLines/>
              <w:widowControl/>
              <w:autoSpaceDE/>
              <w:autoSpaceDN/>
              <w:adjustRightInd/>
              <w:jc w:val="center"/>
              <w:rPr>
                <w:color w:val="000000"/>
              </w:rPr>
            </w:pPr>
            <w:r w:rsidRPr="00140D2B">
              <w:rPr>
                <w:color w:val="000000"/>
              </w:rPr>
              <w:t>79,545</w:t>
            </w:r>
          </w:p>
        </w:tc>
        <w:tc>
          <w:tcPr>
            <w:tcW w:w="1323" w:type="dxa"/>
            <w:tcBorders>
              <w:top w:val="nil"/>
              <w:left w:val="nil"/>
              <w:bottom w:val="nil"/>
              <w:right w:val="single" w:sz="8" w:space="0" w:color="auto"/>
            </w:tcBorders>
            <w:shd w:val="clear" w:color="auto" w:fill="auto"/>
            <w:vAlign w:val="center"/>
            <w:hideMark/>
          </w:tcPr>
          <w:p w14:paraId="68E1DF45" w14:textId="77777777" w:rsidR="00A005B7" w:rsidRPr="00140D2B" w:rsidRDefault="00A005B7" w:rsidP="000B616F">
            <w:pPr>
              <w:keepNext/>
              <w:keepLines/>
              <w:widowControl/>
              <w:autoSpaceDE/>
              <w:autoSpaceDN/>
              <w:adjustRightInd/>
              <w:jc w:val="center"/>
              <w:rPr>
                <w:color w:val="000000"/>
              </w:rPr>
            </w:pPr>
            <w:r w:rsidRPr="00140D2B">
              <w:rPr>
                <w:color w:val="000000"/>
              </w:rPr>
              <w:t>12%</w:t>
            </w:r>
          </w:p>
        </w:tc>
        <w:tc>
          <w:tcPr>
            <w:tcW w:w="1323" w:type="dxa"/>
            <w:tcBorders>
              <w:top w:val="nil"/>
              <w:left w:val="nil"/>
              <w:bottom w:val="nil"/>
              <w:right w:val="single" w:sz="8" w:space="0" w:color="auto"/>
            </w:tcBorders>
            <w:shd w:val="clear" w:color="auto" w:fill="auto"/>
            <w:vAlign w:val="center"/>
            <w:hideMark/>
          </w:tcPr>
          <w:p w14:paraId="3C3F3E3F" w14:textId="77777777" w:rsidR="00A005B7" w:rsidRPr="00140D2B" w:rsidRDefault="00A005B7" w:rsidP="000B616F">
            <w:pPr>
              <w:keepNext/>
              <w:keepLines/>
              <w:widowControl/>
              <w:autoSpaceDE/>
              <w:autoSpaceDN/>
              <w:adjustRightInd/>
              <w:jc w:val="center"/>
              <w:rPr>
                <w:color w:val="000000"/>
              </w:rPr>
            </w:pPr>
            <w:r w:rsidRPr="00140D2B">
              <w:rPr>
                <w:color w:val="000000"/>
              </w:rPr>
              <w:t>13%</w:t>
            </w:r>
          </w:p>
        </w:tc>
        <w:tc>
          <w:tcPr>
            <w:tcW w:w="1323" w:type="dxa"/>
            <w:tcBorders>
              <w:top w:val="nil"/>
              <w:left w:val="nil"/>
              <w:bottom w:val="single" w:sz="8" w:space="0" w:color="auto"/>
              <w:right w:val="single" w:sz="8" w:space="0" w:color="auto"/>
            </w:tcBorders>
            <w:shd w:val="clear" w:color="auto" w:fill="auto"/>
            <w:vAlign w:val="center"/>
            <w:hideMark/>
          </w:tcPr>
          <w:p w14:paraId="6143CB1B" w14:textId="77777777" w:rsidR="00A005B7" w:rsidRPr="00140D2B" w:rsidRDefault="00A005B7" w:rsidP="000B616F">
            <w:pPr>
              <w:keepNext/>
              <w:keepLines/>
              <w:widowControl/>
              <w:autoSpaceDE/>
              <w:autoSpaceDN/>
              <w:adjustRightInd/>
              <w:jc w:val="center"/>
              <w:rPr>
                <w:color w:val="000000"/>
              </w:rPr>
            </w:pPr>
            <w:r w:rsidRPr="00140D2B">
              <w:rPr>
                <w:color w:val="000000"/>
              </w:rPr>
              <w:t>57,683</w:t>
            </w:r>
          </w:p>
        </w:tc>
      </w:tr>
      <w:tr w:rsidR="00A005B7" w:rsidRPr="00140D2B" w14:paraId="65A5C4AA" w14:textId="77777777" w:rsidTr="00014150">
        <w:trPr>
          <w:cantSplit/>
          <w:trHeight w:hRule="exact" w:val="720"/>
          <w:jc w:val="center"/>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5351BB1D" w14:textId="77777777" w:rsidR="00A005B7" w:rsidRPr="00140D2B" w:rsidRDefault="00A005B7" w:rsidP="000B616F">
            <w:pPr>
              <w:keepNext/>
              <w:keepLines/>
              <w:widowControl/>
              <w:autoSpaceDE/>
              <w:autoSpaceDN/>
              <w:adjustRightInd/>
              <w:rPr>
                <w:b/>
                <w:bCs/>
                <w:color w:val="000000"/>
              </w:rPr>
            </w:pPr>
            <w:r w:rsidRPr="00140D2B">
              <w:rPr>
                <w:b/>
                <w:bCs/>
                <w:color w:val="000000"/>
              </w:rPr>
              <w:t>Customers coded as “assistance”</w:t>
            </w:r>
            <w:r w:rsidR="00913D45">
              <w:rPr>
                <w:rStyle w:val="FootnoteReference"/>
                <w:b/>
                <w:bCs/>
              </w:rPr>
              <w:footnoteReference w:id="45"/>
            </w:r>
          </w:p>
        </w:tc>
        <w:tc>
          <w:tcPr>
            <w:tcW w:w="1323" w:type="dxa"/>
            <w:tcBorders>
              <w:top w:val="nil"/>
              <w:left w:val="nil"/>
              <w:bottom w:val="single" w:sz="8" w:space="0" w:color="auto"/>
              <w:right w:val="single" w:sz="8" w:space="0" w:color="auto"/>
            </w:tcBorders>
            <w:shd w:val="clear" w:color="auto" w:fill="auto"/>
            <w:vAlign w:val="center"/>
            <w:hideMark/>
          </w:tcPr>
          <w:p w14:paraId="01842008" w14:textId="77777777" w:rsidR="00A005B7" w:rsidRPr="00140D2B" w:rsidRDefault="00A005B7" w:rsidP="000B616F">
            <w:pPr>
              <w:keepNext/>
              <w:keepLines/>
              <w:widowControl/>
              <w:autoSpaceDE/>
              <w:autoSpaceDN/>
              <w:adjustRightInd/>
              <w:jc w:val="center"/>
              <w:rPr>
                <w:color w:val="000000"/>
              </w:rPr>
            </w:pPr>
            <w:r w:rsidRPr="00140D2B">
              <w:rPr>
                <w:color w:val="000000"/>
              </w:rPr>
              <w:t>51,959</w:t>
            </w:r>
          </w:p>
        </w:tc>
        <w:tc>
          <w:tcPr>
            <w:tcW w:w="1323" w:type="dxa"/>
            <w:tcBorders>
              <w:top w:val="single" w:sz="8" w:space="0" w:color="auto"/>
              <w:left w:val="nil"/>
              <w:bottom w:val="nil"/>
              <w:right w:val="single" w:sz="8" w:space="0" w:color="auto"/>
            </w:tcBorders>
            <w:shd w:val="clear" w:color="auto" w:fill="auto"/>
            <w:vAlign w:val="center"/>
            <w:hideMark/>
          </w:tcPr>
          <w:p w14:paraId="44CD7F57" w14:textId="77777777" w:rsidR="00A005B7" w:rsidRPr="00140D2B" w:rsidRDefault="00A005B7" w:rsidP="000B616F">
            <w:pPr>
              <w:keepNext/>
              <w:keepLines/>
              <w:widowControl/>
              <w:autoSpaceDE/>
              <w:autoSpaceDN/>
              <w:adjustRightInd/>
              <w:jc w:val="center"/>
              <w:rPr>
                <w:color w:val="000000"/>
              </w:rPr>
            </w:pPr>
            <w:r w:rsidRPr="00140D2B">
              <w:rPr>
                <w:color w:val="000000"/>
              </w:rPr>
              <w:t>8%</w:t>
            </w:r>
          </w:p>
        </w:tc>
        <w:tc>
          <w:tcPr>
            <w:tcW w:w="1323" w:type="dxa"/>
            <w:tcBorders>
              <w:top w:val="single" w:sz="8" w:space="0" w:color="auto"/>
              <w:left w:val="nil"/>
              <w:bottom w:val="nil"/>
              <w:right w:val="single" w:sz="8" w:space="0" w:color="auto"/>
            </w:tcBorders>
            <w:shd w:val="clear" w:color="auto" w:fill="auto"/>
            <w:vAlign w:val="center"/>
            <w:hideMark/>
          </w:tcPr>
          <w:p w14:paraId="1A9AFB6F" w14:textId="77777777" w:rsidR="00A005B7" w:rsidRPr="00140D2B" w:rsidRDefault="00A005B7" w:rsidP="000B616F">
            <w:pPr>
              <w:keepNext/>
              <w:keepLines/>
              <w:widowControl/>
              <w:autoSpaceDE/>
              <w:autoSpaceDN/>
              <w:adjustRightInd/>
              <w:jc w:val="center"/>
              <w:rPr>
                <w:color w:val="000000"/>
              </w:rPr>
            </w:pPr>
            <w:r w:rsidRPr="00140D2B">
              <w:rPr>
                <w:color w:val="000000"/>
              </w:rPr>
              <w:t>6%</w:t>
            </w:r>
          </w:p>
        </w:tc>
        <w:tc>
          <w:tcPr>
            <w:tcW w:w="1323" w:type="dxa"/>
            <w:tcBorders>
              <w:top w:val="nil"/>
              <w:left w:val="nil"/>
              <w:bottom w:val="single" w:sz="8" w:space="0" w:color="auto"/>
              <w:right w:val="single" w:sz="8" w:space="0" w:color="auto"/>
            </w:tcBorders>
            <w:shd w:val="clear" w:color="auto" w:fill="auto"/>
            <w:vAlign w:val="center"/>
            <w:hideMark/>
          </w:tcPr>
          <w:p w14:paraId="46AC9390" w14:textId="77777777" w:rsidR="00A005B7" w:rsidRPr="00140D2B" w:rsidRDefault="00A005B7" w:rsidP="000B616F">
            <w:pPr>
              <w:keepNext/>
              <w:keepLines/>
              <w:widowControl/>
              <w:autoSpaceDE/>
              <w:autoSpaceDN/>
              <w:adjustRightInd/>
              <w:jc w:val="center"/>
              <w:rPr>
                <w:color w:val="000000"/>
              </w:rPr>
            </w:pPr>
            <w:r w:rsidRPr="00140D2B">
              <w:rPr>
                <w:color w:val="000000"/>
              </w:rPr>
              <w:t>26,515</w:t>
            </w:r>
          </w:p>
        </w:tc>
      </w:tr>
      <w:tr w:rsidR="00A005B7" w:rsidRPr="00140D2B" w14:paraId="61A26712" w14:textId="77777777" w:rsidTr="00014150">
        <w:trPr>
          <w:cantSplit/>
          <w:trHeight w:hRule="exact" w:val="720"/>
          <w:jc w:val="center"/>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2376A74B" w14:textId="77777777" w:rsidR="00A005B7" w:rsidRPr="00140D2B" w:rsidRDefault="00A005B7" w:rsidP="000B616F">
            <w:pPr>
              <w:keepNext/>
              <w:keepLines/>
              <w:widowControl/>
              <w:autoSpaceDE/>
              <w:autoSpaceDN/>
              <w:adjustRightInd/>
              <w:rPr>
                <w:b/>
                <w:bCs/>
                <w:color w:val="000000"/>
              </w:rPr>
            </w:pPr>
            <w:r w:rsidRPr="00140D2B">
              <w:rPr>
                <w:b/>
                <w:bCs/>
                <w:color w:val="000000"/>
              </w:rPr>
              <w:t>Customers coded as “hardship”</w:t>
            </w:r>
            <w:r w:rsidR="00913D45">
              <w:rPr>
                <w:rStyle w:val="FootnoteReference"/>
                <w:b/>
                <w:bCs/>
              </w:rPr>
              <w:footnoteReference w:id="46"/>
            </w:r>
          </w:p>
        </w:tc>
        <w:tc>
          <w:tcPr>
            <w:tcW w:w="1323" w:type="dxa"/>
            <w:tcBorders>
              <w:top w:val="nil"/>
              <w:left w:val="nil"/>
              <w:bottom w:val="single" w:sz="8" w:space="0" w:color="auto"/>
              <w:right w:val="single" w:sz="8" w:space="0" w:color="auto"/>
            </w:tcBorders>
            <w:shd w:val="clear" w:color="auto" w:fill="auto"/>
            <w:vAlign w:val="center"/>
            <w:hideMark/>
          </w:tcPr>
          <w:p w14:paraId="19FCB38D" w14:textId="77777777" w:rsidR="00A005B7" w:rsidRPr="00140D2B" w:rsidRDefault="00A005B7" w:rsidP="000B616F">
            <w:pPr>
              <w:keepNext/>
              <w:keepLines/>
              <w:widowControl/>
              <w:autoSpaceDE/>
              <w:autoSpaceDN/>
              <w:adjustRightInd/>
              <w:jc w:val="center"/>
              <w:rPr>
                <w:color w:val="000000"/>
              </w:rPr>
            </w:pPr>
            <w:r w:rsidRPr="00140D2B">
              <w:rPr>
                <w:color w:val="000000"/>
              </w:rPr>
              <w:t>16,245</w:t>
            </w:r>
          </w:p>
        </w:tc>
        <w:tc>
          <w:tcPr>
            <w:tcW w:w="1323" w:type="dxa"/>
            <w:tcBorders>
              <w:top w:val="single" w:sz="8" w:space="0" w:color="auto"/>
              <w:left w:val="nil"/>
              <w:bottom w:val="nil"/>
              <w:right w:val="single" w:sz="8" w:space="0" w:color="auto"/>
            </w:tcBorders>
            <w:shd w:val="clear" w:color="auto" w:fill="auto"/>
            <w:vAlign w:val="center"/>
            <w:hideMark/>
          </w:tcPr>
          <w:p w14:paraId="0E80F0C2" w14:textId="77777777" w:rsidR="00A005B7" w:rsidRPr="00140D2B" w:rsidRDefault="00A005B7" w:rsidP="000B616F">
            <w:pPr>
              <w:keepNext/>
              <w:keepLines/>
              <w:widowControl/>
              <w:autoSpaceDE/>
              <w:autoSpaceDN/>
              <w:adjustRightInd/>
              <w:jc w:val="center"/>
              <w:rPr>
                <w:color w:val="000000"/>
              </w:rPr>
            </w:pPr>
            <w:r w:rsidRPr="00140D2B">
              <w:rPr>
                <w:color w:val="000000"/>
              </w:rPr>
              <w:t>2%</w:t>
            </w:r>
          </w:p>
        </w:tc>
        <w:tc>
          <w:tcPr>
            <w:tcW w:w="1323" w:type="dxa"/>
            <w:tcBorders>
              <w:top w:val="single" w:sz="8" w:space="0" w:color="auto"/>
              <w:left w:val="nil"/>
              <w:bottom w:val="nil"/>
              <w:right w:val="single" w:sz="8" w:space="0" w:color="auto"/>
            </w:tcBorders>
            <w:shd w:val="clear" w:color="auto" w:fill="auto"/>
            <w:vAlign w:val="center"/>
            <w:hideMark/>
          </w:tcPr>
          <w:p w14:paraId="03A0EF5D" w14:textId="77777777" w:rsidR="00A005B7" w:rsidRPr="00140D2B" w:rsidRDefault="00A005B7" w:rsidP="000B616F">
            <w:pPr>
              <w:keepNext/>
              <w:keepLines/>
              <w:widowControl/>
              <w:autoSpaceDE/>
              <w:autoSpaceDN/>
              <w:adjustRightInd/>
              <w:jc w:val="center"/>
              <w:rPr>
                <w:color w:val="000000"/>
              </w:rPr>
            </w:pPr>
            <w:r w:rsidRPr="00140D2B">
              <w:rPr>
                <w:color w:val="000000"/>
              </w:rPr>
              <w:t>4%</w:t>
            </w:r>
          </w:p>
        </w:tc>
        <w:tc>
          <w:tcPr>
            <w:tcW w:w="1323" w:type="dxa"/>
            <w:tcBorders>
              <w:top w:val="nil"/>
              <w:left w:val="nil"/>
              <w:bottom w:val="single" w:sz="8" w:space="0" w:color="auto"/>
              <w:right w:val="single" w:sz="8" w:space="0" w:color="auto"/>
            </w:tcBorders>
            <w:shd w:val="clear" w:color="auto" w:fill="auto"/>
            <w:vAlign w:val="center"/>
            <w:hideMark/>
          </w:tcPr>
          <w:p w14:paraId="500B6EB1" w14:textId="77777777" w:rsidR="00A005B7" w:rsidRPr="00140D2B" w:rsidRDefault="00A005B7" w:rsidP="000B616F">
            <w:pPr>
              <w:keepNext/>
              <w:keepLines/>
              <w:widowControl/>
              <w:autoSpaceDE/>
              <w:autoSpaceDN/>
              <w:adjustRightInd/>
              <w:jc w:val="center"/>
              <w:rPr>
                <w:color w:val="000000"/>
              </w:rPr>
            </w:pPr>
            <w:r w:rsidRPr="00140D2B">
              <w:rPr>
                <w:color w:val="000000"/>
              </w:rPr>
              <w:t>17,026</w:t>
            </w:r>
          </w:p>
        </w:tc>
      </w:tr>
      <w:tr w:rsidR="00A005B7" w:rsidRPr="00140D2B" w14:paraId="33B054AB" w14:textId="77777777" w:rsidTr="00014150">
        <w:trPr>
          <w:cantSplit/>
          <w:trHeight w:hRule="exact" w:val="720"/>
          <w:jc w:val="center"/>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2E591786" w14:textId="77777777" w:rsidR="00A005B7" w:rsidRPr="00140D2B" w:rsidRDefault="00A005B7" w:rsidP="000B616F">
            <w:pPr>
              <w:keepNext/>
              <w:keepLines/>
              <w:widowControl/>
              <w:autoSpaceDE/>
              <w:autoSpaceDN/>
              <w:adjustRightInd/>
              <w:rPr>
                <w:b/>
                <w:bCs/>
                <w:color w:val="000000"/>
              </w:rPr>
            </w:pPr>
            <w:r w:rsidRPr="00140D2B">
              <w:rPr>
                <w:b/>
                <w:bCs/>
                <w:color w:val="000000"/>
              </w:rPr>
              <w:t>Customers coded as “life threatening situations”</w:t>
            </w:r>
          </w:p>
        </w:tc>
        <w:tc>
          <w:tcPr>
            <w:tcW w:w="1323" w:type="dxa"/>
            <w:tcBorders>
              <w:top w:val="nil"/>
              <w:left w:val="nil"/>
              <w:bottom w:val="single" w:sz="8" w:space="0" w:color="auto"/>
              <w:right w:val="single" w:sz="8" w:space="0" w:color="auto"/>
            </w:tcBorders>
            <w:shd w:val="clear" w:color="auto" w:fill="auto"/>
            <w:vAlign w:val="center"/>
            <w:hideMark/>
          </w:tcPr>
          <w:p w14:paraId="2AE83E6E" w14:textId="77777777" w:rsidR="00A005B7" w:rsidRPr="00140D2B" w:rsidRDefault="00A005B7" w:rsidP="000B616F">
            <w:pPr>
              <w:keepNext/>
              <w:keepLines/>
              <w:widowControl/>
              <w:autoSpaceDE/>
              <w:autoSpaceDN/>
              <w:adjustRightInd/>
              <w:jc w:val="center"/>
              <w:rPr>
                <w:color w:val="000000"/>
              </w:rPr>
            </w:pPr>
            <w:r w:rsidRPr="00140D2B">
              <w:rPr>
                <w:color w:val="000000"/>
              </w:rPr>
              <w:t>5,042</w:t>
            </w:r>
          </w:p>
        </w:tc>
        <w:tc>
          <w:tcPr>
            <w:tcW w:w="1323" w:type="dxa"/>
            <w:tcBorders>
              <w:top w:val="single" w:sz="8" w:space="0" w:color="auto"/>
              <w:left w:val="nil"/>
              <w:bottom w:val="nil"/>
              <w:right w:val="single" w:sz="8" w:space="0" w:color="auto"/>
            </w:tcBorders>
            <w:shd w:val="clear" w:color="auto" w:fill="auto"/>
            <w:vAlign w:val="center"/>
            <w:hideMark/>
          </w:tcPr>
          <w:p w14:paraId="2AAFD821" w14:textId="77777777" w:rsidR="00A005B7" w:rsidRPr="00140D2B" w:rsidRDefault="00A005B7" w:rsidP="000B616F">
            <w:pPr>
              <w:keepNext/>
              <w:keepLines/>
              <w:widowControl/>
              <w:autoSpaceDE/>
              <w:autoSpaceDN/>
              <w:adjustRightInd/>
              <w:jc w:val="center"/>
              <w:rPr>
                <w:color w:val="000000"/>
              </w:rPr>
            </w:pPr>
            <w:r w:rsidRPr="00140D2B">
              <w:rPr>
                <w:color w:val="000000"/>
              </w:rPr>
              <w:t>1%</w:t>
            </w:r>
          </w:p>
        </w:tc>
        <w:tc>
          <w:tcPr>
            <w:tcW w:w="1323" w:type="dxa"/>
            <w:tcBorders>
              <w:top w:val="single" w:sz="8" w:space="0" w:color="auto"/>
              <w:left w:val="nil"/>
              <w:bottom w:val="nil"/>
              <w:right w:val="single" w:sz="8" w:space="0" w:color="auto"/>
            </w:tcBorders>
            <w:shd w:val="clear" w:color="auto" w:fill="auto"/>
            <w:vAlign w:val="center"/>
            <w:hideMark/>
          </w:tcPr>
          <w:p w14:paraId="37033F7B" w14:textId="77777777" w:rsidR="00A005B7" w:rsidRPr="00140D2B" w:rsidRDefault="00A005B7" w:rsidP="000B616F">
            <w:pPr>
              <w:keepNext/>
              <w:keepLines/>
              <w:widowControl/>
              <w:autoSpaceDE/>
              <w:autoSpaceDN/>
              <w:adjustRightInd/>
              <w:jc w:val="center"/>
              <w:rPr>
                <w:color w:val="000000"/>
              </w:rPr>
            </w:pPr>
            <w:r w:rsidRPr="00140D2B">
              <w:rPr>
                <w:color w:val="000000"/>
              </w:rPr>
              <w:t>1%</w:t>
            </w:r>
          </w:p>
        </w:tc>
        <w:tc>
          <w:tcPr>
            <w:tcW w:w="1323" w:type="dxa"/>
            <w:tcBorders>
              <w:top w:val="nil"/>
              <w:left w:val="nil"/>
              <w:bottom w:val="single" w:sz="8" w:space="0" w:color="auto"/>
              <w:right w:val="single" w:sz="8" w:space="0" w:color="auto"/>
            </w:tcBorders>
            <w:shd w:val="clear" w:color="auto" w:fill="auto"/>
            <w:vAlign w:val="center"/>
            <w:hideMark/>
          </w:tcPr>
          <w:p w14:paraId="12A73531" w14:textId="77777777" w:rsidR="00A005B7" w:rsidRPr="00140D2B" w:rsidRDefault="00A005B7" w:rsidP="000B616F">
            <w:pPr>
              <w:keepNext/>
              <w:keepLines/>
              <w:widowControl/>
              <w:autoSpaceDE/>
              <w:autoSpaceDN/>
              <w:adjustRightInd/>
              <w:jc w:val="center"/>
              <w:rPr>
                <w:color w:val="000000"/>
              </w:rPr>
            </w:pPr>
            <w:r w:rsidRPr="00140D2B">
              <w:rPr>
                <w:color w:val="000000"/>
              </w:rPr>
              <w:t>5,006</w:t>
            </w:r>
          </w:p>
        </w:tc>
      </w:tr>
      <w:tr w:rsidR="00A005B7" w:rsidRPr="00140D2B" w14:paraId="03FB3CA2" w14:textId="77777777" w:rsidTr="00014150">
        <w:trPr>
          <w:cantSplit/>
          <w:trHeight w:hRule="exact" w:val="720"/>
          <w:jc w:val="center"/>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0EAD02FC" w14:textId="77777777" w:rsidR="00A005B7" w:rsidRPr="00140D2B" w:rsidRDefault="00A005B7" w:rsidP="000B616F">
            <w:pPr>
              <w:keepNext/>
              <w:keepLines/>
              <w:widowControl/>
              <w:autoSpaceDE/>
              <w:autoSpaceDN/>
              <w:adjustRightInd/>
              <w:rPr>
                <w:b/>
                <w:bCs/>
                <w:color w:val="000000"/>
              </w:rPr>
            </w:pPr>
            <w:r w:rsidRPr="00140D2B">
              <w:rPr>
                <w:b/>
                <w:bCs/>
                <w:color w:val="000000"/>
              </w:rPr>
              <w:t>Customers coded as “medically serious”</w:t>
            </w:r>
          </w:p>
        </w:tc>
        <w:tc>
          <w:tcPr>
            <w:tcW w:w="1323" w:type="dxa"/>
            <w:tcBorders>
              <w:top w:val="nil"/>
              <w:left w:val="nil"/>
              <w:bottom w:val="single" w:sz="8" w:space="0" w:color="auto"/>
              <w:right w:val="single" w:sz="8" w:space="0" w:color="auto"/>
            </w:tcBorders>
            <w:shd w:val="clear" w:color="auto" w:fill="auto"/>
            <w:vAlign w:val="center"/>
            <w:hideMark/>
          </w:tcPr>
          <w:p w14:paraId="1E582F60" w14:textId="77777777" w:rsidR="00A005B7" w:rsidRPr="00140D2B" w:rsidRDefault="00A005B7" w:rsidP="000B616F">
            <w:pPr>
              <w:keepNext/>
              <w:keepLines/>
              <w:widowControl/>
              <w:autoSpaceDE/>
              <w:autoSpaceDN/>
              <w:adjustRightInd/>
              <w:jc w:val="center"/>
              <w:rPr>
                <w:color w:val="000000"/>
              </w:rPr>
            </w:pPr>
            <w:r w:rsidRPr="00140D2B">
              <w:rPr>
                <w:color w:val="000000"/>
              </w:rPr>
              <w:t>3,650</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14:paraId="381E47B3" w14:textId="77777777" w:rsidR="00A005B7" w:rsidRPr="00140D2B" w:rsidRDefault="00A005B7" w:rsidP="000B616F">
            <w:pPr>
              <w:keepNext/>
              <w:keepLines/>
              <w:widowControl/>
              <w:autoSpaceDE/>
              <w:autoSpaceDN/>
              <w:adjustRightInd/>
              <w:jc w:val="center"/>
              <w:rPr>
                <w:color w:val="000000"/>
              </w:rPr>
            </w:pPr>
            <w:r w:rsidRPr="00140D2B">
              <w:rPr>
                <w:color w:val="000000"/>
              </w:rPr>
              <w:t>1%</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14:paraId="7CB15EFD" w14:textId="77777777" w:rsidR="00A005B7" w:rsidRPr="00140D2B" w:rsidRDefault="00A005B7" w:rsidP="000B616F">
            <w:pPr>
              <w:keepNext/>
              <w:keepLines/>
              <w:widowControl/>
              <w:autoSpaceDE/>
              <w:autoSpaceDN/>
              <w:adjustRightInd/>
              <w:jc w:val="center"/>
              <w:rPr>
                <w:color w:val="000000"/>
              </w:rPr>
            </w:pPr>
            <w:r w:rsidRPr="00140D2B">
              <w:rPr>
                <w:color w:val="000000"/>
              </w:rPr>
              <w:t>1%</w:t>
            </w:r>
          </w:p>
        </w:tc>
        <w:tc>
          <w:tcPr>
            <w:tcW w:w="1323" w:type="dxa"/>
            <w:tcBorders>
              <w:top w:val="nil"/>
              <w:left w:val="nil"/>
              <w:bottom w:val="single" w:sz="8" w:space="0" w:color="auto"/>
              <w:right w:val="single" w:sz="8" w:space="0" w:color="auto"/>
            </w:tcBorders>
            <w:shd w:val="clear" w:color="auto" w:fill="auto"/>
            <w:vAlign w:val="center"/>
            <w:hideMark/>
          </w:tcPr>
          <w:p w14:paraId="3B95FC42" w14:textId="77777777" w:rsidR="00A005B7" w:rsidRPr="00140D2B" w:rsidRDefault="00A005B7" w:rsidP="000B616F">
            <w:pPr>
              <w:keepNext/>
              <w:keepLines/>
              <w:widowControl/>
              <w:autoSpaceDE/>
              <w:autoSpaceDN/>
              <w:adjustRightInd/>
              <w:jc w:val="center"/>
              <w:rPr>
                <w:color w:val="000000"/>
              </w:rPr>
            </w:pPr>
            <w:r w:rsidRPr="00140D2B">
              <w:rPr>
                <w:color w:val="000000"/>
              </w:rPr>
              <w:t>3,997</w:t>
            </w:r>
          </w:p>
        </w:tc>
      </w:tr>
    </w:tbl>
    <w:p w14:paraId="5851BF5C" w14:textId="77777777" w:rsidR="00A005B7" w:rsidRDefault="00A005B7" w:rsidP="00A005B7">
      <w:pPr>
        <w:spacing w:before="240" w:line="480" w:lineRule="auto"/>
        <w:ind w:left="720" w:hanging="720"/>
        <w:rPr>
          <w:b/>
        </w:rPr>
      </w:pPr>
      <w:r>
        <w:rPr>
          <w:b/>
        </w:rPr>
        <w:t>Q:</w:t>
      </w:r>
      <w:r>
        <w:rPr>
          <w:b/>
        </w:rPr>
        <w:tab/>
        <w:t>Do you have information about how many customers (billed by CL&amp;P) the</w:t>
      </w:r>
      <w:r w:rsidR="00A93FF2">
        <w:rPr>
          <w:b/>
        </w:rPr>
        <w:t xml:space="preserve"> Supplier</w:t>
      </w:r>
      <w:r>
        <w:rPr>
          <w:b/>
        </w:rPr>
        <w:t>s serve individually?</w:t>
      </w:r>
    </w:p>
    <w:p w14:paraId="53270237" w14:textId="77777777" w:rsidR="00A005B7" w:rsidRDefault="00A005B7" w:rsidP="00A005B7">
      <w:pPr>
        <w:spacing w:line="480" w:lineRule="auto"/>
        <w:ind w:left="720" w:hanging="720"/>
      </w:pPr>
      <w:r>
        <w:t>A:</w:t>
      </w:r>
      <w:r>
        <w:tab/>
        <w:t xml:space="preserve">Yes. Table </w:t>
      </w:r>
      <w:r w:rsidR="001C43F9">
        <w:t>12</w:t>
      </w:r>
      <w:r>
        <w:t xml:space="preserve"> </w:t>
      </w:r>
      <w:r w:rsidR="0046188C">
        <w:t xml:space="preserve">lists </w:t>
      </w:r>
      <w:r>
        <w:t>the</w:t>
      </w:r>
      <w:r w:rsidR="00A93FF2">
        <w:t xml:space="preserve"> Supplier</w:t>
      </w:r>
      <w:r>
        <w:t xml:space="preserve">s by name and </w:t>
      </w:r>
      <w:r w:rsidR="0046188C">
        <w:t xml:space="preserve">indicates the </w:t>
      </w:r>
      <w:r>
        <w:t>number of residential customers each serves.  It has been sorted from largest to smallest number of residential customers in CL&amp;P’s territory.</w:t>
      </w:r>
    </w:p>
    <w:p w14:paraId="1A8CD0FF" w14:textId="77777777" w:rsidR="00980C33" w:rsidRDefault="00A005B7" w:rsidP="0046188C">
      <w:pPr>
        <w:keepNext/>
        <w:keepLines/>
        <w:ind w:left="720" w:hanging="720"/>
        <w:jc w:val="center"/>
        <w:rPr>
          <w:b/>
        </w:rPr>
      </w:pPr>
      <w:r>
        <w:rPr>
          <w:b/>
        </w:rPr>
        <w:t xml:space="preserve">Table </w:t>
      </w:r>
      <w:r w:rsidR="0046188C">
        <w:rPr>
          <w:b/>
        </w:rPr>
        <w:t>1</w:t>
      </w:r>
      <w:r w:rsidR="001C43F9">
        <w:rPr>
          <w:b/>
        </w:rPr>
        <w:t>2</w:t>
      </w:r>
      <w:r>
        <w:rPr>
          <w:rStyle w:val="FootnoteReference"/>
          <w:b/>
        </w:rPr>
        <w:footnoteReference w:id="47"/>
      </w:r>
    </w:p>
    <w:p w14:paraId="273A9863" w14:textId="77777777" w:rsidR="00885645" w:rsidRDefault="00A005B7" w:rsidP="0046188C">
      <w:pPr>
        <w:keepNext/>
        <w:keepLines/>
        <w:ind w:left="720" w:hanging="720"/>
        <w:jc w:val="center"/>
        <w:rPr>
          <w:b/>
        </w:rPr>
      </w:pPr>
      <w:r>
        <w:rPr>
          <w:b/>
        </w:rPr>
        <w:t xml:space="preserve">Number of </w:t>
      </w:r>
      <w:r w:rsidR="009D59BF">
        <w:rPr>
          <w:b/>
        </w:rPr>
        <w:t xml:space="preserve">CL&amp;P </w:t>
      </w:r>
      <w:r>
        <w:rPr>
          <w:b/>
        </w:rPr>
        <w:t xml:space="preserve">Residential Customers Served </w:t>
      </w:r>
    </w:p>
    <w:p w14:paraId="0DF4C7F6" w14:textId="77777777" w:rsidR="00A005B7" w:rsidRDefault="00A005B7" w:rsidP="0046188C">
      <w:pPr>
        <w:keepNext/>
        <w:keepLines/>
        <w:ind w:left="720" w:hanging="720"/>
        <w:jc w:val="center"/>
        <w:rPr>
          <w:b/>
        </w:rPr>
      </w:pPr>
      <w:r>
        <w:rPr>
          <w:b/>
        </w:rPr>
        <w:t>by Alternative Suppliers (September 2013)</w:t>
      </w:r>
    </w:p>
    <w:p w14:paraId="02A7F27A" w14:textId="77777777" w:rsidR="00980C33" w:rsidRDefault="00980C33" w:rsidP="00980C33">
      <w:pPr>
        <w:keepNext/>
        <w:keepLines/>
        <w:ind w:left="720" w:hanging="720"/>
        <w:jc w:val="center"/>
        <w:rPr>
          <w:b/>
        </w:rPr>
      </w:pPr>
    </w:p>
    <w:p w14:paraId="000DD817" w14:textId="77777777" w:rsidR="00A005B7" w:rsidRDefault="00A005B7" w:rsidP="00980C33">
      <w:pPr>
        <w:keepNext/>
        <w:keepLines/>
        <w:spacing w:line="480" w:lineRule="auto"/>
        <w:ind w:left="720" w:hanging="720"/>
        <w:rPr>
          <w:b/>
        </w:rPr>
      </w:pPr>
    </w:p>
    <w:tbl>
      <w:tblPr>
        <w:tblW w:w="10087" w:type="dxa"/>
        <w:tblInd w:w="93" w:type="dxa"/>
        <w:tblLayout w:type="fixed"/>
        <w:tblLook w:val="04A0" w:firstRow="1" w:lastRow="0" w:firstColumn="1" w:lastColumn="0" w:noHBand="0" w:noVBand="1"/>
      </w:tblPr>
      <w:tblGrid>
        <w:gridCol w:w="266"/>
        <w:gridCol w:w="3349"/>
        <w:gridCol w:w="1260"/>
        <w:gridCol w:w="262"/>
        <w:gridCol w:w="266"/>
        <w:gridCol w:w="3240"/>
        <w:gridCol w:w="1182"/>
        <w:gridCol w:w="262"/>
      </w:tblGrid>
      <w:tr w:rsidR="00A005B7" w:rsidRPr="000B432B" w14:paraId="4B86BA5D" w14:textId="77777777" w:rsidTr="000B616F">
        <w:trPr>
          <w:trHeight w:val="871"/>
        </w:trPr>
        <w:tc>
          <w:tcPr>
            <w:tcW w:w="266" w:type="dxa"/>
            <w:tcBorders>
              <w:top w:val="single" w:sz="8" w:space="0" w:color="auto"/>
              <w:left w:val="single" w:sz="8" w:space="0" w:color="auto"/>
              <w:bottom w:val="single" w:sz="8" w:space="0" w:color="auto"/>
              <w:right w:val="nil"/>
            </w:tcBorders>
            <w:shd w:val="clear" w:color="auto" w:fill="auto"/>
            <w:vAlign w:val="center"/>
            <w:hideMark/>
          </w:tcPr>
          <w:p w14:paraId="2E278C74" w14:textId="77777777" w:rsidR="00A005B7" w:rsidRPr="000B432B" w:rsidRDefault="00A005B7" w:rsidP="00980C33">
            <w:pPr>
              <w:keepNext/>
              <w:keepLines/>
              <w:widowControl/>
              <w:autoSpaceDE/>
              <w:autoSpaceDN/>
              <w:adjustRightInd/>
              <w:jc w:val="center"/>
              <w:rPr>
                <w:b/>
                <w:bCs/>
                <w:color w:val="000000"/>
                <w:sz w:val="20"/>
                <w:szCs w:val="20"/>
              </w:rPr>
            </w:pPr>
            <w:r w:rsidRPr="000B432B">
              <w:rPr>
                <w:b/>
                <w:bCs/>
                <w:color w:val="000000"/>
                <w:sz w:val="20"/>
                <w:szCs w:val="20"/>
              </w:rPr>
              <w:t> </w:t>
            </w:r>
          </w:p>
        </w:tc>
        <w:tc>
          <w:tcPr>
            <w:tcW w:w="3349" w:type="dxa"/>
            <w:tcBorders>
              <w:top w:val="single" w:sz="8" w:space="0" w:color="auto"/>
              <w:left w:val="nil"/>
              <w:bottom w:val="single" w:sz="8" w:space="0" w:color="auto"/>
              <w:right w:val="nil"/>
            </w:tcBorders>
            <w:shd w:val="clear" w:color="auto" w:fill="auto"/>
            <w:vAlign w:val="center"/>
            <w:hideMark/>
          </w:tcPr>
          <w:p w14:paraId="3E43FB0D" w14:textId="77777777" w:rsidR="00A005B7" w:rsidRPr="000B432B" w:rsidRDefault="00A005B7" w:rsidP="00980C33">
            <w:pPr>
              <w:keepNext/>
              <w:keepLines/>
              <w:widowControl/>
              <w:autoSpaceDE/>
              <w:autoSpaceDN/>
              <w:adjustRightInd/>
              <w:jc w:val="center"/>
              <w:rPr>
                <w:b/>
                <w:bCs/>
                <w:color w:val="000000"/>
                <w:sz w:val="20"/>
                <w:szCs w:val="20"/>
              </w:rPr>
            </w:pPr>
            <w:r w:rsidRPr="000B432B">
              <w:rPr>
                <w:b/>
                <w:bCs/>
                <w:color w:val="000000"/>
                <w:sz w:val="20"/>
                <w:szCs w:val="20"/>
              </w:rPr>
              <w:t>Supplier</w:t>
            </w:r>
          </w:p>
        </w:tc>
        <w:tc>
          <w:tcPr>
            <w:tcW w:w="1260" w:type="dxa"/>
            <w:tcBorders>
              <w:top w:val="single" w:sz="8" w:space="0" w:color="auto"/>
              <w:left w:val="nil"/>
              <w:bottom w:val="single" w:sz="8" w:space="0" w:color="auto"/>
              <w:right w:val="nil"/>
            </w:tcBorders>
            <w:shd w:val="clear" w:color="auto" w:fill="auto"/>
            <w:vAlign w:val="center"/>
            <w:hideMark/>
          </w:tcPr>
          <w:p w14:paraId="51030471" w14:textId="77777777" w:rsidR="00A005B7" w:rsidRPr="000B432B" w:rsidRDefault="00A005B7" w:rsidP="00980C33">
            <w:pPr>
              <w:keepNext/>
              <w:keepLines/>
              <w:widowControl/>
              <w:autoSpaceDE/>
              <w:autoSpaceDN/>
              <w:adjustRightInd/>
              <w:jc w:val="center"/>
              <w:rPr>
                <w:b/>
                <w:bCs/>
                <w:color w:val="000000"/>
                <w:sz w:val="20"/>
                <w:szCs w:val="20"/>
              </w:rPr>
            </w:pPr>
            <w:r w:rsidRPr="000B432B">
              <w:rPr>
                <w:b/>
                <w:bCs/>
                <w:color w:val="000000"/>
                <w:sz w:val="20"/>
                <w:szCs w:val="20"/>
              </w:rPr>
              <w:t>Number of Residential Customers</w:t>
            </w:r>
          </w:p>
        </w:tc>
        <w:tc>
          <w:tcPr>
            <w:tcW w:w="262" w:type="dxa"/>
            <w:tcBorders>
              <w:top w:val="single" w:sz="8" w:space="0" w:color="auto"/>
              <w:left w:val="nil"/>
              <w:bottom w:val="single" w:sz="8" w:space="0" w:color="auto"/>
              <w:right w:val="single" w:sz="8" w:space="0" w:color="auto"/>
            </w:tcBorders>
            <w:shd w:val="clear" w:color="auto" w:fill="auto"/>
            <w:noWrap/>
            <w:vAlign w:val="bottom"/>
            <w:hideMark/>
          </w:tcPr>
          <w:p w14:paraId="7BCE359E"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single" w:sz="8" w:space="0" w:color="auto"/>
              <w:left w:val="nil"/>
              <w:bottom w:val="single" w:sz="8" w:space="0" w:color="auto"/>
              <w:right w:val="nil"/>
            </w:tcBorders>
            <w:shd w:val="clear" w:color="auto" w:fill="auto"/>
            <w:vAlign w:val="center"/>
            <w:hideMark/>
          </w:tcPr>
          <w:p w14:paraId="30EBF50C" w14:textId="77777777" w:rsidR="00A005B7" w:rsidRPr="000B432B" w:rsidRDefault="00A005B7" w:rsidP="00980C33">
            <w:pPr>
              <w:keepNext/>
              <w:keepLines/>
              <w:widowControl/>
              <w:autoSpaceDE/>
              <w:autoSpaceDN/>
              <w:adjustRightInd/>
              <w:jc w:val="center"/>
              <w:rPr>
                <w:b/>
                <w:bCs/>
                <w:color w:val="000000"/>
                <w:sz w:val="20"/>
                <w:szCs w:val="20"/>
              </w:rPr>
            </w:pPr>
            <w:r w:rsidRPr="000B432B">
              <w:rPr>
                <w:b/>
                <w:bCs/>
                <w:color w:val="000000"/>
                <w:sz w:val="20"/>
                <w:szCs w:val="20"/>
              </w:rPr>
              <w:t> </w:t>
            </w:r>
          </w:p>
        </w:tc>
        <w:tc>
          <w:tcPr>
            <w:tcW w:w="3240" w:type="dxa"/>
            <w:tcBorders>
              <w:top w:val="single" w:sz="8" w:space="0" w:color="auto"/>
              <w:left w:val="nil"/>
              <w:bottom w:val="single" w:sz="8" w:space="0" w:color="auto"/>
              <w:right w:val="nil"/>
            </w:tcBorders>
            <w:shd w:val="clear" w:color="auto" w:fill="auto"/>
            <w:vAlign w:val="center"/>
            <w:hideMark/>
          </w:tcPr>
          <w:p w14:paraId="67249091" w14:textId="77777777" w:rsidR="00A005B7" w:rsidRPr="000B432B" w:rsidRDefault="00A005B7" w:rsidP="00980C33">
            <w:pPr>
              <w:keepNext/>
              <w:keepLines/>
              <w:widowControl/>
              <w:autoSpaceDE/>
              <w:autoSpaceDN/>
              <w:adjustRightInd/>
              <w:jc w:val="center"/>
              <w:rPr>
                <w:b/>
                <w:bCs/>
                <w:color w:val="000000"/>
                <w:sz w:val="20"/>
                <w:szCs w:val="20"/>
              </w:rPr>
            </w:pPr>
            <w:r w:rsidRPr="000B432B">
              <w:rPr>
                <w:b/>
                <w:bCs/>
                <w:color w:val="000000"/>
                <w:sz w:val="20"/>
                <w:szCs w:val="20"/>
              </w:rPr>
              <w:t>Supplier</w:t>
            </w:r>
          </w:p>
        </w:tc>
        <w:tc>
          <w:tcPr>
            <w:tcW w:w="1182" w:type="dxa"/>
            <w:tcBorders>
              <w:top w:val="single" w:sz="8" w:space="0" w:color="auto"/>
              <w:left w:val="nil"/>
              <w:bottom w:val="single" w:sz="8" w:space="0" w:color="auto"/>
              <w:right w:val="nil"/>
            </w:tcBorders>
            <w:shd w:val="clear" w:color="auto" w:fill="auto"/>
            <w:vAlign w:val="center"/>
            <w:hideMark/>
          </w:tcPr>
          <w:p w14:paraId="00CB0843" w14:textId="77777777" w:rsidR="00A005B7" w:rsidRPr="000B432B" w:rsidRDefault="00A005B7" w:rsidP="00980C33">
            <w:pPr>
              <w:keepNext/>
              <w:keepLines/>
              <w:widowControl/>
              <w:autoSpaceDE/>
              <w:autoSpaceDN/>
              <w:adjustRightInd/>
              <w:jc w:val="center"/>
              <w:rPr>
                <w:b/>
                <w:bCs/>
                <w:color w:val="000000"/>
                <w:sz w:val="20"/>
                <w:szCs w:val="20"/>
              </w:rPr>
            </w:pPr>
            <w:r w:rsidRPr="000B432B">
              <w:rPr>
                <w:b/>
                <w:bCs/>
                <w:color w:val="000000"/>
                <w:sz w:val="20"/>
                <w:szCs w:val="20"/>
              </w:rPr>
              <w:t>Number of Residential Customers</w:t>
            </w:r>
          </w:p>
        </w:tc>
        <w:tc>
          <w:tcPr>
            <w:tcW w:w="262" w:type="dxa"/>
            <w:tcBorders>
              <w:top w:val="single" w:sz="8" w:space="0" w:color="auto"/>
              <w:left w:val="nil"/>
              <w:bottom w:val="single" w:sz="8" w:space="0" w:color="auto"/>
              <w:right w:val="single" w:sz="8" w:space="0" w:color="auto"/>
            </w:tcBorders>
            <w:shd w:val="clear" w:color="auto" w:fill="auto"/>
            <w:noWrap/>
            <w:vAlign w:val="bottom"/>
            <w:hideMark/>
          </w:tcPr>
          <w:p w14:paraId="08088FF1"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525DE578" w14:textId="77777777" w:rsidTr="000B616F">
        <w:trPr>
          <w:trHeight w:val="460"/>
        </w:trPr>
        <w:tc>
          <w:tcPr>
            <w:tcW w:w="266" w:type="dxa"/>
            <w:tcBorders>
              <w:top w:val="nil"/>
              <w:left w:val="single" w:sz="8" w:space="0" w:color="auto"/>
              <w:bottom w:val="nil"/>
              <w:right w:val="nil"/>
            </w:tcBorders>
            <w:shd w:val="clear" w:color="auto" w:fill="auto"/>
            <w:noWrap/>
            <w:vAlign w:val="bottom"/>
            <w:hideMark/>
          </w:tcPr>
          <w:p w14:paraId="0AA84E67"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75D481A8"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PUB PWR &amp; UTL GEN SV/CL&amp;P </w:t>
            </w:r>
          </w:p>
        </w:tc>
        <w:tc>
          <w:tcPr>
            <w:tcW w:w="1260" w:type="dxa"/>
            <w:tcBorders>
              <w:top w:val="nil"/>
              <w:left w:val="nil"/>
              <w:bottom w:val="nil"/>
              <w:right w:val="nil"/>
            </w:tcBorders>
            <w:shd w:val="clear" w:color="auto" w:fill="auto"/>
            <w:noWrap/>
            <w:vAlign w:val="bottom"/>
            <w:hideMark/>
          </w:tcPr>
          <w:p w14:paraId="747F0BBB"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65,723</w:t>
            </w:r>
          </w:p>
        </w:tc>
        <w:tc>
          <w:tcPr>
            <w:tcW w:w="262" w:type="dxa"/>
            <w:tcBorders>
              <w:top w:val="nil"/>
              <w:left w:val="nil"/>
              <w:bottom w:val="nil"/>
              <w:right w:val="single" w:sz="8" w:space="0" w:color="auto"/>
            </w:tcBorders>
            <w:shd w:val="clear" w:color="auto" w:fill="auto"/>
            <w:noWrap/>
            <w:vAlign w:val="bottom"/>
            <w:hideMark/>
          </w:tcPr>
          <w:p w14:paraId="48F1EEF5"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046907BF"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4C5ADC97" w14:textId="77777777" w:rsidR="00A005B7" w:rsidRPr="000B432B" w:rsidRDefault="00A005B7" w:rsidP="00980C33">
            <w:pPr>
              <w:keepNext/>
              <w:keepLines/>
              <w:widowControl/>
              <w:autoSpaceDE/>
              <w:autoSpaceDN/>
              <w:adjustRightInd/>
              <w:rPr>
                <w:sz w:val="20"/>
                <w:szCs w:val="20"/>
              </w:rPr>
            </w:pPr>
            <w:r w:rsidRPr="000B432B">
              <w:rPr>
                <w:sz w:val="20"/>
                <w:szCs w:val="20"/>
              </w:rPr>
              <w:t>GULF OIL GEN SV/CL&amp;P</w:t>
            </w:r>
          </w:p>
        </w:tc>
        <w:tc>
          <w:tcPr>
            <w:tcW w:w="1182" w:type="dxa"/>
            <w:tcBorders>
              <w:top w:val="nil"/>
              <w:left w:val="nil"/>
              <w:bottom w:val="nil"/>
              <w:right w:val="nil"/>
            </w:tcBorders>
            <w:shd w:val="clear" w:color="auto" w:fill="auto"/>
            <w:noWrap/>
            <w:vAlign w:val="bottom"/>
            <w:hideMark/>
          </w:tcPr>
          <w:p w14:paraId="54CD5B28"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4,215</w:t>
            </w:r>
          </w:p>
        </w:tc>
        <w:tc>
          <w:tcPr>
            <w:tcW w:w="262" w:type="dxa"/>
            <w:tcBorders>
              <w:top w:val="nil"/>
              <w:left w:val="nil"/>
              <w:bottom w:val="nil"/>
              <w:right w:val="single" w:sz="8" w:space="0" w:color="auto"/>
            </w:tcBorders>
            <w:shd w:val="clear" w:color="auto" w:fill="auto"/>
            <w:noWrap/>
            <w:vAlign w:val="bottom"/>
            <w:hideMark/>
          </w:tcPr>
          <w:p w14:paraId="652EE040"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1E3A6694"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77390DD9"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62D53531"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DIRECT ENERGY SRV/CL&amp;P </w:t>
            </w:r>
          </w:p>
        </w:tc>
        <w:tc>
          <w:tcPr>
            <w:tcW w:w="1260" w:type="dxa"/>
            <w:tcBorders>
              <w:top w:val="nil"/>
              <w:left w:val="nil"/>
              <w:bottom w:val="nil"/>
              <w:right w:val="nil"/>
            </w:tcBorders>
            <w:shd w:val="clear" w:color="auto" w:fill="auto"/>
            <w:noWrap/>
            <w:vAlign w:val="bottom"/>
            <w:hideMark/>
          </w:tcPr>
          <w:p w14:paraId="28668047"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57,443</w:t>
            </w:r>
          </w:p>
        </w:tc>
        <w:tc>
          <w:tcPr>
            <w:tcW w:w="262" w:type="dxa"/>
            <w:tcBorders>
              <w:top w:val="nil"/>
              <w:left w:val="nil"/>
              <w:bottom w:val="nil"/>
              <w:right w:val="single" w:sz="8" w:space="0" w:color="auto"/>
            </w:tcBorders>
            <w:shd w:val="clear" w:color="auto" w:fill="auto"/>
            <w:noWrap/>
            <w:vAlign w:val="bottom"/>
            <w:hideMark/>
          </w:tcPr>
          <w:p w14:paraId="7F53F7B6"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5352EBBD"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2F2A9DC8"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PALMCO POWER GEN SV/CL&amp;P </w:t>
            </w:r>
          </w:p>
        </w:tc>
        <w:tc>
          <w:tcPr>
            <w:tcW w:w="1182" w:type="dxa"/>
            <w:tcBorders>
              <w:top w:val="nil"/>
              <w:left w:val="nil"/>
              <w:bottom w:val="nil"/>
              <w:right w:val="nil"/>
            </w:tcBorders>
            <w:shd w:val="clear" w:color="auto" w:fill="auto"/>
            <w:noWrap/>
            <w:vAlign w:val="bottom"/>
            <w:hideMark/>
          </w:tcPr>
          <w:p w14:paraId="10F3DF9F"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3,824</w:t>
            </w:r>
          </w:p>
        </w:tc>
        <w:tc>
          <w:tcPr>
            <w:tcW w:w="262" w:type="dxa"/>
            <w:tcBorders>
              <w:top w:val="nil"/>
              <w:left w:val="nil"/>
              <w:bottom w:val="nil"/>
              <w:right w:val="single" w:sz="8" w:space="0" w:color="auto"/>
            </w:tcBorders>
            <w:shd w:val="clear" w:color="auto" w:fill="auto"/>
            <w:noWrap/>
            <w:vAlign w:val="bottom"/>
            <w:hideMark/>
          </w:tcPr>
          <w:p w14:paraId="76D681B1"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7A344227"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417DF83C"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18A8DFAE"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DOMINION ENG GEN SV/CL&amp;P </w:t>
            </w:r>
          </w:p>
        </w:tc>
        <w:tc>
          <w:tcPr>
            <w:tcW w:w="1260" w:type="dxa"/>
            <w:tcBorders>
              <w:top w:val="nil"/>
              <w:left w:val="nil"/>
              <w:bottom w:val="nil"/>
              <w:right w:val="nil"/>
            </w:tcBorders>
            <w:shd w:val="clear" w:color="auto" w:fill="auto"/>
            <w:noWrap/>
            <w:vAlign w:val="bottom"/>
            <w:hideMark/>
          </w:tcPr>
          <w:p w14:paraId="2199CD6F"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46,080</w:t>
            </w:r>
          </w:p>
        </w:tc>
        <w:tc>
          <w:tcPr>
            <w:tcW w:w="262" w:type="dxa"/>
            <w:tcBorders>
              <w:top w:val="nil"/>
              <w:left w:val="nil"/>
              <w:bottom w:val="nil"/>
              <w:right w:val="single" w:sz="8" w:space="0" w:color="auto"/>
            </w:tcBorders>
            <w:shd w:val="clear" w:color="auto" w:fill="auto"/>
            <w:noWrap/>
            <w:vAlign w:val="bottom"/>
            <w:hideMark/>
          </w:tcPr>
          <w:p w14:paraId="246AF025"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358B8698"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44B7562D" w14:textId="77777777" w:rsidR="00A005B7" w:rsidRPr="000B432B" w:rsidRDefault="00A005B7" w:rsidP="00980C33">
            <w:pPr>
              <w:keepNext/>
              <w:keepLines/>
              <w:widowControl/>
              <w:autoSpaceDE/>
              <w:autoSpaceDN/>
              <w:adjustRightInd/>
              <w:rPr>
                <w:sz w:val="20"/>
                <w:szCs w:val="20"/>
              </w:rPr>
            </w:pPr>
            <w:r w:rsidRPr="000B432B">
              <w:rPr>
                <w:sz w:val="20"/>
                <w:szCs w:val="20"/>
              </w:rPr>
              <w:t>PERIGEE GEN SV/CL&amp;P</w:t>
            </w:r>
          </w:p>
        </w:tc>
        <w:tc>
          <w:tcPr>
            <w:tcW w:w="1182" w:type="dxa"/>
            <w:tcBorders>
              <w:top w:val="nil"/>
              <w:left w:val="nil"/>
              <w:bottom w:val="nil"/>
              <w:right w:val="nil"/>
            </w:tcBorders>
            <w:shd w:val="clear" w:color="auto" w:fill="auto"/>
            <w:noWrap/>
            <w:vAlign w:val="bottom"/>
            <w:hideMark/>
          </w:tcPr>
          <w:p w14:paraId="4871D7D6"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2,929</w:t>
            </w:r>
          </w:p>
        </w:tc>
        <w:tc>
          <w:tcPr>
            <w:tcW w:w="262" w:type="dxa"/>
            <w:tcBorders>
              <w:top w:val="nil"/>
              <w:left w:val="nil"/>
              <w:bottom w:val="nil"/>
              <w:right w:val="single" w:sz="8" w:space="0" w:color="auto"/>
            </w:tcBorders>
            <w:shd w:val="clear" w:color="auto" w:fill="auto"/>
            <w:noWrap/>
            <w:vAlign w:val="bottom"/>
            <w:hideMark/>
          </w:tcPr>
          <w:p w14:paraId="5271FE43"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4E745470"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41DACF00"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0243FE28"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N AMER POWER GEN SV/CL&amp;P </w:t>
            </w:r>
          </w:p>
        </w:tc>
        <w:tc>
          <w:tcPr>
            <w:tcW w:w="1260" w:type="dxa"/>
            <w:tcBorders>
              <w:top w:val="nil"/>
              <w:left w:val="nil"/>
              <w:bottom w:val="nil"/>
              <w:right w:val="nil"/>
            </w:tcBorders>
            <w:shd w:val="clear" w:color="auto" w:fill="auto"/>
            <w:noWrap/>
            <w:vAlign w:val="bottom"/>
            <w:hideMark/>
          </w:tcPr>
          <w:p w14:paraId="0579FF21"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39,976</w:t>
            </w:r>
          </w:p>
        </w:tc>
        <w:tc>
          <w:tcPr>
            <w:tcW w:w="262" w:type="dxa"/>
            <w:tcBorders>
              <w:top w:val="nil"/>
              <w:left w:val="nil"/>
              <w:bottom w:val="nil"/>
              <w:right w:val="single" w:sz="8" w:space="0" w:color="auto"/>
            </w:tcBorders>
            <w:shd w:val="clear" w:color="auto" w:fill="auto"/>
            <w:noWrap/>
            <w:vAlign w:val="bottom"/>
            <w:hideMark/>
          </w:tcPr>
          <w:p w14:paraId="343D4A1E"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2E51230D"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79BA8339"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HOP ENERGY GEN SV/CL&amp;P </w:t>
            </w:r>
          </w:p>
        </w:tc>
        <w:tc>
          <w:tcPr>
            <w:tcW w:w="1182" w:type="dxa"/>
            <w:tcBorders>
              <w:top w:val="nil"/>
              <w:left w:val="nil"/>
              <w:bottom w:val="nil"/>
              <w:right w:val="nil"/>
            </w:tcBorders>
            <w:shd w:val="clear" w:color="auto" w:fill="auto"/>
            <w:noWrap/>
            <w:vAlign w:val="bottom"/>
            <w:hideMark/>
          </w:tcPr>
          <w:p w14:paraId="03490D92"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2,725</w:t>
            </w:r>
          </w:p>
        </w:tc>
        <w:tc>
          <w:tcPr>
            <w:tcW w:w="262" w:type="dxa"/>
            <w:tcBorders>
              <w:top w:val="nil"/>
              <w:left w:val="nil"/>
              <w:bottom w:val="nil"/>
              <w:right w:val="single" w:sz="8" w:space="0" w:color="auto"/>
            </w:tcBorders>
            <w:shd w:val="clear" w:color="auto" w:fill="auto"/>
            <w:noWrap/>
            <w:vAlign w:val="bottom"/>
            <w:hideMark/>
          </w:tcPr>
          <w:p w14:paraId="249A4C78"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3F5C5E1B"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5FD82A0C"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02D1F4A4"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VERDE ENERGY GEN SV/CL&amp;P </w:t>
            </w:r>
          </w:p>
        </w:tc>
        <w:tc>
          <w:tcPr>
            <w:tcW w:w="1260" w:type="dxa"/>
            <w:tcBorders>
              <w:top w:val="nil"/>
              <w:left w:val="nil"/>
              <w:bottom w:val="nil"/>
              <w:right w:val="nil"/>
            </w:tcBorders>
            <w:shd w:val="clear" w:color="auto" w:fill="auto"/>
            <w:noWrap/>
            <w:vAlign w:val="bottom"/>
            <w:hideMark/>
          </w:tcPr>
          <w:p w14:paraId="4BA2E8BB"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26,908</w:t>
            </w:r>
          </w:p>
        </w:tc>
        <w:tc>
          <w:tcPr>
            <w:tcW w:w="262" w:type="dxa"/>
            <w:tcBorders>
              <w:top w:val="nil"/>
              <w:left w:val="nil"/>
              <w:bottom w:val="nil"/>
              <w:right w:val="single" w:sz="8" w:space="0" w:color="auto"/>
            </w:tcBorders>
            <w:shd w:val="clear" w:color="auto" w:fill="auto"/>
            <w:noWrap/>
            <w:vAlign w:val="bottom"/>
            <w:hideMark/>
          </w:tcPr>
          <w:p w14:paraId="43C72DC5"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4B33B542"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19BD84E3"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LIBERTY POWER HLDGS/CL&amp;P </w:t>
            </w:r>
          </w:p>
        </w:tc>
        <w:tc>
          <w:tcPr>
            <w:tcW w:w="1182" w:type="dxa"/>
            <w:tcBorders>
              <w:top w:val="nil"/>
              <w:left w:val="nil"/>
              <w:bottom w:val="nil"/>
              <w:right w:val="nil"/>
            </w:tcBorders>
            <w:shd w:val="clear" w:color="auto" w:fill="auto"/>
            <w:noWrap/>
            <w:vAlign w:val="bottom"/>
            <w:hideMark/>
          </w:tcPr>
          <w:p w14:paraId="169FBF20"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2,710</w:t>
            </w:r>
          </w:p>
        </w:tc>
        <w:tc>
          <w:tcPr>
            <w:tcW w:w="262" w:type="dxa"/>
            <w:tcBorders>
              <w:top w:val="nil"/>
              <w:left w:val="nil"/>
              <w:bottom w:val="nil"/>
              <w:right w:val="single" w:sz="8" w:space="0" w:color="auto"/>
            </w:tcBorders>
            <w:shd w:val="clear" w:color="auto" w:fill="auto"/>
            <w:noWrap/>
            <w:vAlign w:val="bottom"/>
            <w:hideMark/>
          </w:tcPr>
          <w:p w14:paraId="0973ED1E"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14B5D168"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55931337"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065503EB"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DISCOUNT PWR GEN SV/CL&amp;P </w:t>
            </w:r>
          </w:p>
        </w:tc>
        <w:tc>
          <w:tcPr>
            <w:tcW w:w="1260" w:type="dxa"/>
            <w:tcBorders>
              <w:top w:val="nil"/>
              <w:left w:val="nil"/>
              <w:bottom w:val="nil"/>
              <w:right w:val="nil"/>
            </w:tcBorders>
            <w:shd w:val="clear" w:color="auto" w:fill="auto"/>
            <w:noWrap/>
            <w:vAlign w:val="bottom"/>
            <w:hideMark/>
          </w:tcPr>
          <w:p w14:paraId="0684072C"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24,574</w:t>
            </w:r>
          </w:p>
        </w:tc>
        <w:tc>
          <w:tcPr>
            <w:tcW w:w="262" w:type="dxa"/>
            <w:tcBorders>
              <w:top w:val="nil"/>
              <w:left w:val="nil"/>
              <w:bottom w:val="nil"/>
              <w:right w:val="single" w:sz="8" w:space="0" w:color="auto"/>
            </w:tcBorders>
            <w:shd w:val="clear" w:color="auto" w:fill="auto"/>
            <w:noWrap/>
            <w:vAlign w:val="bottom"/>
            <w:hideMark/>
          </w:tcPr>
          <w:p w14:paraId="1213CA53"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1C45937E"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34380B3C"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AEQUITAS GEN SV/CL&amp;P </w:t>
            </w:r>
          </w:p>
        </w:tc>
        <w:tc>
          <w:tcPr>
            <w:tcW w:w="1182" w:type="dxa"/>
            <w:tcBorders>
              <w:top w:val="nil"/>
              <w:left w:val="nil"/>
              <w:bottom w:val="nil"/>
              <w:right w:val="nil"/>
            </w:tcBorders>
            <w:shd w:val="clear" w:color="auto" w:fill="auto"/>
            <w:noWrap/>
            <w:vAlign w:val="bottom"/>
            <w:hideMark/>
          </w:tcPr>
          <w:p w14:paraId="6513DB0E"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1,654</w:t>
            </w:r>
          </w:p>
        </w:tc>
        <w:tc>
          <w:tcPr>
            <w:tcW w:w="262" w:type="dxa"/>
            <w:tcBorders>
              <w:top w:val="nil"/>
              <w:left w:val="nil"/>
              <w:bottom w:val="nil"/>
              <w:right w:val="single" w:sz="8" w:space="0" w:color="auto"/>
            </w:tcBorders>
            <w:shd w:val="clear" w:color="auto" w:fill="auto"/>
            <w:noWrap/>
            <w:vAlign w:val="bottom"/>
            <w:hideMark/>
          </w:tcPr>
          <w:p w14:paraId="45C79542"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5ED5F9B8"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1E2F40C0"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15D3C18C"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AMBIT GEN SV/CL&amp;P </w:t>
            </w:r>
          </w:p>
        </w:tc>
        <w:tc>
          <w:tcPr>
            <w:tcW w:w="1260" w:type="dxa"/>
            <w:tcBorders>
              <w:top w:val="nil"/>
              <w:left w:val="nil"/>
              <w:bottom w:val="nil"/>
              <w:right w:val="nil"/>
            </w:tcBorders>
            <w:shd w:val="clear" w:color="auto" w:fill="auto"/>
            <w:noWrap/>
            <w:vAlign w:val="bottom"/>
            <w:hideMark/>
          </w:tcPr>
          <w:p w14:paraId="77B4C962"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19,924</w:t>
            </w:r>
          </w:p>
        </w:tc>
        <w:tc>
          <w:tcPr>
            <w:tcW w:w="262" w:type="dxa"/>
            <w:tcBorders>
              <w:top w:val="nil"/>
              <w:left w:val="nil"/>
              <w:bottom w:val="nil"/>
              <w:right w:val="single" w:sz="8" w:space="0" w:color="auto"/>
            </w:tcBorders>
            <w:shd w:val="clear" w:color="auto" w:fill="auto"/>
            <w:noWrap/>
            <w:vAlign w:val="bottom"/>
            <w:hideMark/>
          </w:tcPr>
          <w:p w14:paraId="6D9EB746"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7CE9F03D"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35B23F15" w14:textId="77777777" w:rsidR="00A005B7" w:rsidRPr="000B432B" w:rsidRDefault="00A005B7" w:rsidP="00980C33">
            <w:pPr>
              <w:keepNext/>
              <w:keepLines/>
              <w:widowControl/>
              <w:autoSpaceDE/>
              <w:autoSpaceDN/>
              <w:adjustRightInd/>
              <w:rPr>
                <w:sz w:val="20"/>
                <w:szCs w:val="20"/>
              </w:rPr>
            </w:pPr>
            <w:r w:rsidRPr="000B432B">
              <w:rPr>
                <w:sz w:val="20"/>
                <w:szCs w:val="20"/>
              </w:rPr>
              <w:t>ABEST GEN SV/CL&amp;P</w:t>
            </w:r>
          </w:p>
        </w:tc>
        <w:tc>
          <w:tcPr>
            <w:tcW w:w="1182" w:type="dxa"/>
            <w:tcBorders>
              <w:top w:val="nil"/>
              <w:left w:val="nil"/>
              <w:bottom w:val="nil"/>
              <w:right w:val="nil"/>
            </w:tcBorders>
            <w:shd w:val="clear" w:color="auto" w:fill="auto"/>
            <w:noWrap/>
            <w:vAlign w:val="bottom"/>
            <w:hideMark/>
          </w:tcPr>
          <w:p w14:paraId="122AEA43"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1,010</w:t>
            </w:r>
          </w:p>
        </w:tc>
        <w:tc>
          <w:tcPr>
            <w:tcW w:w="262" w:type="dxa"/>
            <w:tcBorders>
              <w:top w:val="nil"/>
              <w:left w:val="nil"/>
              <w:bottom w:val="nil"/>
              <w:right w:val="single" w:sz="8" w:space="0" w:color="auto"/>
            </w:tcBorders>
            <w:shd w:val="clear" w:color="auto" w:fill="auto"/>
            <w:noWrap/>
            <w:vAlign w:val="bottom"/>
            <w:hideMark/>
          </w:tcPr>
          <w:p w14:paraId="1369D9D2"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2868D710"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51D9FD08"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32CCF90B"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STARION ENGY GEN SV/CL&amp;P </w:t>
            </w:r>
          </w:p>
        </w:tc>
        <w:tc>
          <w:tcPr>
            <w:tcW w:w="1260" w:type="dxa"/>
            <w:tcBorders>
              <w:top w:val="nil"/>
              <w:left w:val="nil"/>
              <w:bottom w:val="nil"/>
              <w:right w:val="nil"/>
            </w:tcBorders>
            <w:shd w:val="clear" w:color="auto" w:fill="auto"/>
            <w:noWrap/>
            <w:vAlign w:val="bottom"/>
            <w:hideMark/>
          </w:tcPr>
          <w:p w14:paraId="7C7AEC5D"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19,916</w:t>
            </w:r>
          </w:p>
        </w:tc>
        <w:tc>
          <w:tcPr>
            <w:tcW w:w="262" w:type="dxa"/>
            <w:tcBorders>
              <w:top w:val="nil"/>
              <w:left w:val="nil"/>
              <w:bottom w:val="nil"/>
              <w:right w:val="single" w:sz="8" w:space="0" w:color="auto"/>
            </w:tcBorders>
            <w:shd w:val="clear" w:color="auto" w:fill="auto"/>
            <w:noWrap/>
            <w:vAlign w:val="bottom"/>
            <w:hideMark/>
          </w:tcPr>
          <w:p w14:paraId="12CAB608"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05B60955"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3390ACBD" w14:textId="77777777" w:rsidR="00A005B7" w:rsidRPr="000B432B" w:rsidRDefault="00A005B7" w:rsidP="00980C33">
            <w:pPr>
              <w:keepNext/>
              <w:keepLines/>
              <w:widowControl/>
              <w:autoSpaceDE/>
              <w:autoSpaceDN/>
              <w:adjustRightInd/>
              <w:rPr>
                <w:sz w:val="20"/>
                <w:szCs w:val="20"/>
              </w:rPr>
            </w:pPr>
            <w:r w:rsidRPr="000B432B">
              <w:rPr>
                <w:sz w:val="20"/>
                <w:szCs w:val="20"/>
              </w:rPr>
              <w:t>CONSTELLAT</w:t>
            </w:r>
          </w:p>
        </w:tc>
        <w:tc>
          <w:tcPr>
            <w:tcW w:w="1182" w:type="dxa"/>
            <w:tcBorders>
              <w:top w:val="nil"/>
              <w:left w:val="nil"/>
              <w:bottom w:val="nil"/>
              <w:right w:val="nil"/>
            </w:tcBorders>
            <w:shd w:val="clear" w:color="auto" w:fill="auto"/>
            <w:noWrap/>
            <w:vAlign w:val="bottom"/>
            <w:hideMark/>
          </w:tcPr>
          <w:p w14:paraId="503FA49A"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907</w:t>
            </w:r>
          </w:p>
        </w:tc>
        <w:tc>
          <w:tcPr>
            <w:tcW w:w="262" w:type="dxa"/>
            <w:tcBorders>
              <w:top w:val="nil"/>
              <w:left w:val="nil"/>
              <w:bottom w:val="nil"/>
              <w:right w:val="single" w:sz="8" w:space="0" w:color="auto"/>
            </w:tcBorders>
            <w:shd w:val="clear" w:color="auto" w:fill="auto"/>
            <w:noWrap/>
            <w:vAlign w:val="bottom"/>
            <w:hideMark/>
          </w:tcPr>
          <w:p w14:paraId="349A8EE6"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23A6296E"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590F3B8E"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386CA003"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CONSOL EDISON SOL/CL&amp;P </w:t>
            </w:r>
          </w:p>
        </w:tc>
        <w:tc>
          <w:tcPr>
            <w:tcW w:w="1260" w:type="dxa"/>
            <w:tcBorders>
              <w:top w:val="nil"/>
              <w:left w:val="nil"/>
              <w:bottom w:val="nil"/>
              <w:right w:val="nil"/>
            </w:tcBorders>
            <w:shd w:val="clear" w:color="auto" w:fill="auto"/>
            <w:noWrap/>
            <w:vAlign w:val="bottom"/>
            <w:hideMark/>
          </w:tcPr>
          <w:p w14:paraId="3A435C5F"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18,342</w:t>
            </w:r>
          </w:p>
        </w:tc>
        <w:tc>
          <w:tcPr>
            <w:tcW w:w="262" w:type="dxa"/>
            <w:tcBorders>
              <w:top w:val="nil"/>
              <w:left w:val="nil"/>
              <w:bottom w:val="nil"/>
              <w:right w:val="single" w:sz="8" w:space="0" w:color="auto"/>
            </w:tcBorders>
            <w:shd w:val="clear" w:color="auto" w:fill="auto"/>
            <w:noWrap/>
            <w:vAlign w:val="bottom"/>
            <w:hideMark/>
          </w:tcPr>
          <w:p w14:paraId="453B74B7"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14F95FE8"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3DE10F70"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NEXTERA ENERGY GEN SV/CLP </w:t>
            </w:r>
          </w:p>
        </w:tc>
        <w:tc>
          <w:tcPr>
            <w:tcW w:w="1182" w:type="dxa"/>
            <w:tcBorders>
              <w:top w:val="nil"/>
              <w:left w:val="nil"/>
              <w:bottom w:val="nil"/>
              <w:right w:val="nil"/>
            </w:tcBorders>
            <w:shd w:val="clear" w:color="auto" w:fill="auto"/>
            <w:noWrap/>
            <w:vAlign w:val="bottom"/>
            <w:hideMark/>
          </w:tcPr>
          <w:p w14:paraId="7E1A1273"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853</w:t>
            </w:r>
          </w:p>
        </w:tc>
        <w:tc>
          <w:tcPr>
            <w:tcW w:w="262" w:type="dxa"/>
            <w:tcBorders>
              <w:top w:val="nil"/>
              <w:left w:val="nil"/>
              <w:bottom w:val="nil"/>
              <w:right w:val="single" w:sz="8" w:space="0" w:color="auto"/>
            </w:tcBorders>
            <w:shd w:val="clear" w:color="auto" w:fill="auto"/>
            <w:noWrap/>
            <w:vAlign w:val="bottom"/>
            <w:hideMark/>
          </w:tcPr>
          <w:p w14:paraId="4942D304"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0DBE0B68"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389026CB"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0D2D1EAE"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CONSTELLATION ENERGY/CL&amp;P </w:t>
            </w:r>
          </w:p>
        </w:tc>
        <w:tc>
          <w:tcPr>
            <w:tcW w:w="1260" w:type="dxa"/>
            <w:tcBorders>
              <w:top w:val="nil"/>
              <w:left w:val="nil"/>
              <w:bottom w:val="nil"/>
              <w:right w:val="nil"/>
            </w:tcBorders>
            <w:shd w:val="clear" w:color="auto" w:fill="auto"/>
            <w:noWrap/>
            <w:vAlign w:val="bottom"/>
            <w:hideMark/>
          </w:tcPr>
          <w:p w14:paraId="16FEA007"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17,973</w:t>
            </w:r>
          </w:p>
        </w:tc>
        <w:tc>
          <w:tcPr>
            <w:tcW w:w="262" w:type="dxa"/>
            <w:tcBorders>
              <w:top w:val="nil"/>
              <w:left w:val="nil"/>
              <w:bottom w:val="nil"/>
              <w:right w:val="single" w:sz="8" w:space="0" w:color="auto"/>
            </w:tcBorders>
            <w:shd w:val="clear" w:color="auto" w:fill="auto"/>
            <w:noWrap/>
            <w:vAlign w:val="bottom"/>
            <w:hideMark/>
          </w:tcPr>
          <w:p w14:paraId="414DE377"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641C2B8A"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27BF28C6"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INDEPENDENCE GEN SV/CL&amp;P </w:t>
            </w:r>
          </w:p>
        </w:tc>
        <w:tc>
          <w:tcPr>
            <w:tcW w:w="1182" w:type="dxa"/>
            <w:tcBorders>
              <w:top w:val="nil"/>
              <w:left w:val="nil"/>
              <w:bottom w:val="nil"/>
              <w:right w:val="nil"/>
            </w:tcBorders>
            <w:shd w:val="clear" w:color="auto" w:fill="auto"/>
            <w:noWrap/>
            <w:vAlign w:val="bottom"/>
            <w:hideMark/>
          </w:tcPr>
          <w:p w14:paraId="6B8BED06"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308</w:t>
            </w:r>
          </w:p>
        </w:tc>
        <w:tc>
          <w:tcPr>
            <w:tcW w:w="262" w:type="dxa"/>
            <w:tcBorders>
              <w:top w:val="nil"/>
              <w:left w:val="nil"/>
              <w:bottom w:val="nil"/>
              <w:right w:val="single" w:sz="8" w:space="0" w:color="auto"/>
            </w:tcBorders>
            <w:shd w:val="clear" w:color="auto" w:fill="auto"/>
            <w:noWrap/>
            <w:vAlign w:val="bottom"/>
            <w:hideMark/>
          </w:tcPr>
          <w:p w14:paraId="7210E8C0"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3FFCB171"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4EC85FC9"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780F7509"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ENERGY PLUS GEN SV/CL&amp;P </w:t>
            </w:r>
          </w:p>
        </w:tc>
        <w:tc>
          <w:tcPr>
            <w:tcW w:w="1260" w:type="dxa"/>
            <w:tcBorders>
              <w:top w:val="nil"/>
              <w:left w:val="nil"/>
              <w:bottom w:val="nil"/>
              <w:right w:val="nil"/>
            </w:tcBorders>
            <w:shd w:val="clear" w:color="auto" w:fill="auto"/>
            <w:noWrap/>
            <w:vAlign w:val="bottom"/>
            <w:hideMark/>
          </w:tcPr>
          <w:p w14:paraId="0409E45E"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16,040</w:t>
            </w:r>
          </w:p>
        </w:tc>
        <w:tc>
          <w:tcPr>
            <w:tcW w:w="262" w:type="dxa"/>
            <w:tcBorders>
              <w:top w:val="nil"/>
              <w:left w:val="nil"/>
              <w:bottom w:val="nil"/>
              <w:right w:val="single" w:sz="8" w:space="0" w:color="auto"/>
            </w:tcBorders>
            <w:shd w:val="clear" w:color="auto" w:fill="auto"/>
            <w:noWrap/>
            <w:vAlign w:val="bottom"/>
            <w:hideMark/>
          </w:tcPr>
          <w:p w14:paraId="0A8A94A3"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0174E452"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7C67CC9E" w14:textId="77777777" w:rsidR="00A005B7" w:rsidRPr="000B432B" w:rsidRDefault="00A005B7" w:rsidP="00980C33">
            <w:pPr>
              <w:keepNext/>
              <w:keepLines/>
              <w:widowControl/>
              <w:autoSpaceDE/>
              <w:autoSpaceDN/>
              <w:adjustRightInd/>
              <w:rPr>
                <w:sz w:val="20"/>
                <w:szCs w:val="20"/>
              </w:rPr>
            </w:pPr>
            <w:r w:rsidRPr="000B432B">
              <w:rPr>
                <w:sz w:val="20"/>
                <w:szCs w:val="20"/>
              </w:rPr>
              <w:t>GLACIAL ENERGY NEGG/CL&amp;P</w:t>
            </w:r>
          </w:p>
        </w:tc>
        <w:tc>
          <w:tcPr>
            <w:tcW w:w="1182" w:type="dxa"/>
            <w:tcBorders>
              <w:top w:val="nil"/>
              <w:left w:val="nil"/>
              <w:bottom w:val="nil"/>
              <w:right w:val="nil"/>
            </w:tcBorders>
            <w:shd w:val="clear" w:color="auto" w:fill="auto"/>
            <w:noWrap/>
            <w:vAlign w:val="bottom"/>
            <w:hideMark/>
          </w:tcPr>
          <w:p w14:paraId="3521B765"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253</w:t>
            </w:r>
          </w:p>
        </w:tc>
        <w:tc>
          <w:tcPr>
            <w:tcW w:w="262" w:type="dxa"/>
            <w:tcBorders>
              <w:top w:val="nil"/>
              <w:left w:val="nil"/>
              <w:bottom w:val="nil"/>
              <w:right w:val="single" w:sz="8" w:space="0" w:color="auto"/>
            </w:tcBorders>
            <w:shd w:val="clear" w:color="auto" w:fill="auto"/>
            <w:noWrap/>
            <w:vAlign w:val="bottom"/>
            <w:hideMark/>
          </w:tcPr>
          <w:p w14:paraId="69857595"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0DACAFBD"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5C300D7F"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3A82ABFC"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VIRIDIAN ENGY GEN SV/CL&amp;P </w:t>
            </w:r>
          </w:p>
        </w:tc>
        <w:tc>
          <w:tcPr>
            <w:tcW w:w="1260" w:type="dxa"/>
            <w:tcBorders>
              <w:top w:val="nil"/>
              <w:left w:val="nil"/>
              <w:bottom w:val="nil"/>
              <w:right w:val="nil"/>
            </w:tcBorders>
            <w:shd w:val="clear" w:color="auto" w:fill="auto"/>
            <w:noWrap/>
            <w:vAlign w:val="bottom"/>
            <w:hideMark/>
          </w:tcPr>
          <w:p w14:paraId="420CBD23"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15,338</w:t>
            </w:r>
          </w:p>
        </w:tc>
        <w:tc>
          <w:tcPr>
            <w:tcW w:w="262" w:type="dxa"/>
            <w:tcBorders>
              <w:top w:val="nil"/>
              <w:left w:val="nil"/>
              <w:bottom w:val="nil"/>
              <w:right w:val="single" w:sz="8" w:space="0" w:color="auto"/>
            </w:tcBorders>
            <w:shd w:val="clear" w:color="auto" w:fill="auto"/>
            <w:noWrap/>
            <w:vAlign w:val="bottom"/>
            <w:hideMark/>
          </w:tcPr>
          <w:p w14:paraId="7DC0B257"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6486B082"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1E2E63A4"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INTEGRYS ENERGY SVC/CL&amp;P </w:t>
            </w:r>
          </w:p>
        </w:tc>
        <w:tc>
          <w:tcPr>
            <w:tcW w:w="1182" w:type="dxa"/>
            <w:tcBorders>
              <w:top w:val="nil"/>
              <w:left w:val="nil"/>
              <w:bottom w:val="nil"/>
              <w:right w:val="nil"/>
            </w:tcBorders>
            <w:shd w:val="clear" w:color="auto" w:fill="auto"/>
            <w:noWrap/>
            <w:vAlign w:val="bottom"/>
            <w:hideMark/>
          </w:tcPr>
          <w:p w14:paraId="74B13A14"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96</w:t>
            </w:r>
          </w:p>
        </w:tc>
        <w:tc>
          <w:tcPr>
            <w:tcW w:w="262" w:type="dxa"/>
            <w:tcBorders>
              <w:top w:val="nil"/>
              <w:left w:val="nil"/>
              <w:bottom w:val="nil"/>
              <w:right w:val="single" w:sz="8" w:space="0" w:color="auto"/>
            </w:tcBorders>
            <w:shd w:val="clear" w:color="auto" w:fill="auto"/>
            <w:noWrap/>
            <w:vAlign w:val="bottom"/>
            <w:hideMark/>
          </w:tcPr>
          <w:p w14:paraId="4E0E179D"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148BAC0A"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34DEA700"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5CB96D76"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CLEARVIEW ELE GEN SV/CL&amp;P </w:t>
            </w:r>
          </w:p>
        </w:tc>
        <w:tc>
          <w:tcPr>
            <w:tcW w:w="1260" w:type="dxa"/>
            <w:tcBorders>
              <w:top w:val="nil"/>
              <w:left w:val="nil"/>
              <w:bottom w:val="nil"/>
              <w:right w:val="nil"/>
            </w:tcBorders>
            <w:shd w:val="clear" w:color="auto" w:fill="auto"/>
            <w:noWrap/>
            <w:vAlign w:val="bottom"/>
            <w:hideMark/>
          </w:tcPr>
          <w:p w14:paraId="50A92620"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10,735</w:t>
            </w:r>
          </w:p>
        </w:tc>
        <w:tc>
          <w:tcPr>
            <w:tcW w:w="262" w:type="dxa"/>
            <w:tcBorders>
              <w:top w:val="nil"/>
              <w:left w:val="nil"/>
              <w:bottom w:val="nil"/>
              <w:right w:val="single" w:sz="8" w:space="0" w:color="auto"/>
            </w:tcBorders>
            <w:shd w:val="clear" w:color="auto" w:fill="auto"/>
            <w:noWrap/>
            <w:vAlign w:val="bottom"/>
            <w:hideMark/>
          </w:tcPr>
          <w:p w14:paraId="042886CD"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21C80C8A"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1295C81A"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PEOPLES GEN SV/CL&amp;P </w:t>
            </w:r>
          </w:p>
        </w:tc>
        <w:tc>
          <w:tcPr>
            <w:tcW w:w="1182" w:type="dxa"/>
            <w:tcBorders>
              <w:top w:val="nil"/>
              <w:left w:val="nil"/>
              <w:bottom w:val="nil"/>
              <w:right w:val="nil"/>
            </w:tcBorders>
            <w:shd w:val="clear" w:color="auto" w:fill="auto"/>
            <w:noWrap/>
            <w:vAlign w:val="bottom"/>
            <w:hideMark/>
          </w:tcPr>
          <w:p w14:paraId="172A493E"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84</w:t>
            </w:r>
          </w:p>
        </w:tc>
        <w:tc>
          <w:tcPr>
            <w:tcW w:w="262" w:type="dxa"/>
            <w:tcBorders>
              <w:top w:val="nil"/>
              <w:left w:val="nil"/>
              <w:bottom w:val="nil"/>
              <w:right w:val="single" w:sz="8" w:space="0" w:color="auto"/>
            </w:tcBorders>
            <w:shd w:val="clear" w:color="auto" w:fill="auto"/>
            <w:noWrap/>
            <w:vAlign w:val="bottom"/>
            <w:hideMark/>
          </w:tcPr>
          <w:p w14:paraId="4C48810D"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4ACF4BE1"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4D53A6B7"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1D2FA555"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CHOICE ENERGY GEN SV/CL&amp;P </w:t>
            </w:r>
          </w:p>
        </w:tc>
        <w:tc>
          <w:tcPr>
            <w:tcW w:w="1260" w:type="dxa"/>
            <w:tcBorders>
              <w:top w:val="nil"/>
              <w:left w:val="nil"/>
              <w:bottom w:val="nil"/>
              <w:right w:val="nil"/>
            </w:tcBorders>
            <w:shd w:val="clear" w:color="auto" w:fill="auto"/>
            <w:noWrap/>
            <w:vAlign w:val="bottom"/>
            <w:hideMark/>
          </w:tcPr>
          <w:p w14:paraId="47E6621B"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8,504</w:t>
            </w:r>
          </w:p>
        </w:tc>
        <w:tc>
          <w:tcPr>
            <w:tcW w:w="262" w:type="dxa"/>
            <w:tcBorders>
              <w:top w:val="nil"/>
              <w:left w:val="nil"/>
              <w:bottom w:val="nil"/>
              <w:right w:val="single" w:sz="8" w:space="0" w:color="auto"/>
            </w:tcBorders>
            <w:shd w:val="clear" w:color="auto" w:fill="auto"/>
            <w:noWrap/>
            <w:vAlign w:val="bottom"/>
            <w:hideMark/>
          </w:tcPr>
          <w:p w14:paraId="6C4E706F"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183C4F3C"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5CB85C7B"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DIRECT ENERGY BUSINESS </w:t>
            </w:r>
          </w:p>
        </w:tc>
        <w:tc>
          <w:tcPr>
            <w:tcW w:w="1182" w:type="dxa"/>
            <w:tcBorders>
              <w:top w:val="nil"/>
              <w:left w:val="nil"/>
              <w:bottom w:val="nil"/>
              <w:right w:val="nil"/>
            </w:tcBorders>
            <w:shd w:val="clear" w:color="auto" w:fill="auto"/>
            <w:noWrap/>
            <w:vAlign w:val="bottom"/>
            <w:hideMark/>
          </w:tcPr>
          <w:p w14:paraId="27C0B08E"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69</w:t>
            </w:r>
          </w:p>
        </w:tc>
        <w:tc>
          <w:tcPr>
            <w:tcW w:w="262" w:type="dxa"/>
            <w:tcBorders>
              <w:top w:val="nil"/>
              <w:left w:val="nil"/>
              <w:bottom w:val="nil"/>
              <w:right w:val="single" w:sz="8" w:space="0" w:color="auto"/>
            </w:tcBorders>
            <w:shd w:val="clear" w:color="auto" w:fill="auto"/>
            <w:noWrap/>
            <w:vAlign w:val="bottom"/>
            <w:hideMark/>
          </w:tcPr>
          <w:p w14:paraId="2641F135"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2FC246C6"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0D9ED779"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21BD038B"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TOWN SQUARE ENERGY/CL&amp;P </w:t>
            </w:r>
          </w:p>
        </w:tc>
        <w:tc>
          <w:tcPr>
            <w:tcW w:w="1260" w:type="dxa"/>
            <w:tcBorders>
              <w:top w:val="nil"/>
              <w:left w:val="nil"/>
              <w:bottom w:val="nil"/>
              <w:right w:val="nil"/>
            </w:tcBorders>
            <w:shd w:val="clear" w:color="auto" w:fill="auto"/>
            <w:noWrap/>
            <w:vAlign w:val="bottom"/>
            <w:hideMark/>
          </w:tcPr>
          <w:p w14:paraId="6B3DA304"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7,488</w:t>
            </w:r>
          </w:p>
        </w:tc>
        <w:tc>
          <w:tcPr>
            <w:tcW w:w="262" w:type="dxa"/>
            <w:tcBorders>
              <w:top w:val="nil"/>
              <w:left w:val="nil"/>
              <w:bottom w:val="nil"/>
              <w:right w:val="single" w:sz="8" w:space="0" w:color="auto"/>
            </w:tcBorders>
            <w:shd w:val="clear" w:color="auto" w:fill="auto"/>
            <w:noWrap/>
            <w:vAlign w:val="bottom"/>
            <w:hideMark/>
          </w:tcPr>
          <w:p w14:paraId="36A3C125"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43358979"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77E7C969" w14:textId="77777777" w:rsidR="00A005B7" w:rsidRPr="000B432B" w:rsidRDefault="00A005B7" w:rsidP="00980C33">
            <w:pPr>
              <w:keepNext/>
              <w:keepLines/>
              <w:widowControl/>
              <w:autoSpaceDE/>
              <w:autoSpaceDN/>
              <w:adjustRightInd/>
              <w:rPr>
                <w:sz w:val="20"/>
                <w:szCs w:val="20"/>
              </w:rPr>
            </w:pPr>
            <w:r w:rsidRPr="000B432B">
              <w:rPr>
                <w:sz w:val="20"/>
                <w:szCs w:val="20"/>
              </w:rPr>
              <w:t>GDF SUEZ ENERGY</w:t>
            </w:r>
          </w:p>
        </w:tc>
        <w:tc>
          <w:tcPr>
            <w:tcW w:w="1182" w:type="dxa"/>
            <w:tcBorders>
              <w:top w:val="nil"/>
              <w:left w:val="nil"/>
              <w:bottom w:val="nil"/>
              <w:right w:val="nil"/>
            </w:tcBorders>
            <w:shd w:val="clear" w:color="auto" w:fill="auto"/>
            <w:noWrap/>
            <w:vAlign w:val="bottom"/>
            <w:hideMark/>
          </w:tcPr>
          <w:p w14:paraId="1226B4E9"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16</w:t>
            </w:r>
          </w:p>
        </w:tc>
        <w:tc>
          <w:tcPr>
            <w:tcW w:w="262" w:type="dxa"/>
            <w:tcBorders>
              <w:top w:val="nil"/>
              <w:left w:val="nil"/>
              <w:bottom w:val="nil"/>
              <w:right w:val="single" w:sz="8" w:space="0" w:color="auto"/>
            </w:tcBorders>
            <w:shd w:val="clear" w:color="auto" w:fill="auto"/>
            <w:noWrap/>
            <w:vAlign w:val="bottom"/>
            <w:hideMark/>
          </w:tcPr>
          <w:p w14:paraId="71F71A8B"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312DF134"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4B21F292"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7063A04E"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CONN GAS&amp;ELE GEN SV/CL&amp;P </w:t>
            </w:r>
          </w:p>
        </w:tc>
        <w:tc>
          <w:tcPr>
            <w:tcW w:w="1260" w:type="dxa"/>
            <w:tcBorders>
              <w:top w:val="nil"/>
              <w:left w:val="nil"/>
              <w:bottom w:val="nil"/>
              <w:right w:val="nil"/>
            </w:tcBorders>
            <w:shd w:val="clear" w:color="auto" w:fill="auto"/>
            <w:noWrap/>
            <w:vAlign w:val="bottom"/>
            <w:hideMark/>
          </w:tcPr>
          <w:p w14:paraId="3909C54D"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6,079</w:t>
            </w:r>
          </w:p>
        </w:tc>
        <w:tc>
          <w:tcPr>
            <w:tcW w:w="262" w:type="dxa"/>
            <w:tcBorders>
              <w:top w:val="nil"/>
              <w:left w:val="nil"/>
              <w:bottom w:val="nil"/>
              <w:right w:val="single" w:sz="8" w:space="0" w:color="auto"/>
            </w:tcBorders>
            <w:shd w:val="clear" w:color="auto" w:fill="auto"/>
            <w:noWrap/>
            <w:vAlign w:val="bottom"/>
            <w:hideMark/>
          </w:tcPr>
          <w:p w14:paraId="46E2E347"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0935FF80"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779789C5"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AMERADA HESS SV/CL&amp;P </w:t>
            </w:r>
          </w:p>
        </w:tc>
        <w:tc>
          <w:tcPr>
            <w:tcW w:w="1182" w:type="dxa"/>
            <w:tcBorders>
              <w:top w:val="nil"/>
              <w:left w:val="nil"/>
              <w:bottom w:val="nil"/>
              <w:right w:val="nil"/>
            </w:tcBorders>
            <w:shd w:val="clear" w:color="auto" w:fill="auto"/>
            <w:noWrap/>
            <w:vAlign w:val="bottom"/>
            <w:hideMark/>
          </w:tcPr>
          <w:p w14:paraId="0B8D3438"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15</w:t>
            </w:r>
          </w:p>
        </w:tc>
        <w:tc>
          <w:tcPr>
            <w:tcW w:w="262" w:type="dxa"/>
            <w:tcBorders>
              <w:top w:val="nil"/>
              <w:left w:val="nil"/>
              <w:bottom w:val="nil"/>
              <w:right w:val="single" w:sz="8" w:space="0" w:color="auto"/>
            </w:tcBorders>
            <w:shd w:val="clear" w:color="auto" w:fill="auto"/>
            <w:noWrap/>
            <w:vAlign w:val="bottom"/>
            <w:hideMark/>
          </w:tcPr>
          <w:p w14:paraId="43190051"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6BA3C656"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4A8B2032"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565F02DE" w14:textId="77777777" w:rsidR="00A005B7" w:rsidRPr="000B432B" w:rsidRDefault="00A005B7" w:rsidP="00980C33">
            <w:pPr>
              <w:keepNext/>
              <w:keepLines/>
              <w:widowControl/>
              <w:autoSpaceDE/>
              <w:autoSpaceDN/>
              <w:adjustRightInd/>
              <w:rPr>
                <w:sz w:val="20"/>
                <w:szCs w:val="20"/>
              </w:rPr>
            </w:pPr>
            <w:r w:rsidRPr="000B432B">
              <w:rPr>
                <w:sz w:val="20"/>
                <w:szCs w:val="20"/>
              </w:rPr>
              <w:t>HIKO GEN SV/CL&amp;P</w:t>
            </w:r>
          </w:p>
        </w:tc>
        <w:tc>
          <w:tcPr>
            <w:tcW w:w="1260" w:type="dxa"/>
            <w:tcBorders>
              <w:top w:val="nil"/>
              <w:left w:val="nil"/>
              <w:bottom w:val="nil"/>
              <w:right w:val="nil"/>
            </w:tcBorders>
            <w:shd w:val="clear" w:color="auto" w:fill="auto"/>
            <w:noWrap/>
            <w:vAlign w:val="bottom"/>
            <w:hideMark/>
          </w:tcPr>
          <w:p w14:paraId="15FDDD49"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5,948</w:t>
            </w:r>
          </w:p>
        </w:tc>
        <w:tc>
          <w:tcPr>
            <w:tcW w:w="262" w:type="dxa"/>
            <w:tcBorders>
              <w:top w:val="nil"/>
              <w:left w:val="nil"/>
              <w:bottom w:val="nil"/>
              <w:right w:val="single" w:sz="8" w:space="0" w:color="auto"/>
            </w:tcBorders>
            <w:shd w:val="clear" w:color="auto" w:fill="auto"/>
            <w:noWrap/>
            <w:vAlign w:val="bottom"/>
            <w:hideMark/>
          </w:tcPr>
          <w:p w14:paraId="471EFCCE"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0AD54906"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335F2B05" w14:textId="77777777" w:rsidR="00A005B7" w:rsidRPr="000B432B" w:rsidRDefault="00A005B7" w:rsidP="00980C33">
            <w:pPr>
              <w:keepNext/>
              <w:keepLines/>
              <w:widowControl/>
              <w:autoSpaceDE/>
              <w:autoSpaceDN/>
              <w:adjustRightInd/>
              <w:rPr>
                <w:sz w:val="20"/>
                <w:szCs w:val="20"/>
              </w:rPr>
            </w:pPr>
            <w:r w:rsidRPr="000B432B">
              <w:rPr>
                <w:sz w:val="20"/>
                <w:szCs w:val="20"/>
              </w:rPr>
              <w:t>RELIANT GEN SV/CL&amp;P</w:t>
            </w:r>
          </w:p>
        </w:tc>
        <w:tc>
          <w:tcPr>
            <w:tcW w:w="1182" w:type="dxa"/>
            <w:tcBorders>
              <w:top w:val="nil"/>
              <w:left w:val="nil"/>
              <w:bottom w:val="nil"/>
              <w:right w:val="nil"/>
            </w:tcBorders>
            <w:shd w:val="clear" w:color="auto" w:fill="auto"/>
            <w:noWrap/>
            <w:vAlign w:val="bottom"/>
            <w:hideMark/>
          </w:tcPr>
          <w:p w14:paraId="65022F5D"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10</w:t>
            </w:r>
          </w:p>
        </w:tc>
        <w:tc>
          <w:tcPr>
            <w:tcW w:w="262" w:type="dxa"/>
            <w:tcBorders>
              <w:top w:val="nil"/>
              <w:left w:val="nil"/>
              <w:bottom w:val="nil"/>
              <w:right w:val="single" w:sz="8" w:space="0" w:color="auto"/>
            </w:tcBorders>
            <w:shd w:val="clear" w:color="auto" w:fill="auto"/>
            <w:noWrap/>
            <w:vAlign w:val="bottom"/>
            <w:hideMark/>
          </w:tcPr>
          <w:p w14:paraId="1FDFE6BE"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09C11E1B"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04FCBDBE"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6F07D619"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SPARK ENERGY GEN SV/CL&amp;P </w:t>
            </w:r>
          </w:p>
        </w:tc>
        <w:tc>
          <w:tcPr>
            <w:tcW w:w="1260" w:type="dxa"/>
            <w:tcBorders>
              <w:top w:val="nil"/>
              <w:left w:val="nil"/>
              <w:bottom w:val="nil"/>
              <w:right w:val="nil"/>
            </w:tcBorders>
            <w:shd w:val="clear" w:color="auto" w:fill="auto"/>
            <w:noWrap/>
            <w:vAlign w:val="bottom"/>
            <w:hideMark/>
          </w:tcPr>
          <w:p w14:paraId="1AAD6024"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5,839</w:t>
            </w:r>
          </w:p>
        </w:tc>
        <w:tc>
          <w:tcPr>
            <w:tcW w:w="262" w:type="dxa"/>
            <w:tcBorders>
              <w:top w:val="nil"/>
              <w:left w:val="nil"/>
              <w:bottom w:val="nil"/>
              <w:right w:val="single" w:sz="8" w:space="0" w:color="auto"/>
            </w:tcBorders>
            <w:shd w:val="clear" w:color="auto" w:fill="auto"/>
            <w:noWrap/>
            <w:vAlign w:val="bottom"/>
            <w:hideMark/>
          </w:tcPr>
          <w:p w14:paraId="084DFDA7"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3308A877"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6E33AAEE" w14:textId="77777777" w:rsidR="00A005B7" w:rsidRPr="000B432B" w:rsidRDefault="00A005B7" w:rsidP="00980C33">
            <w:pPr>
              <w:keepNext/>
              <w:keepLines/>
              <w:widowControl/>
              <w:autoSpaceDE/>
              <w:autoSpaceDN/>
              <w:adjustRightInd/>
              <w:rPr>
                <w:sz w:val="20"/>
                <w:szCs w:val="20"/>
              </w:rPr>
            </w:pPr>
            <w:r w:rsidRPr="000B432B">
              <w:rPr>
                <w:sz w:val="20"/>
                <w:szCs w:val="20"/>
              </w:rPr>
              <w:t xml:space="preserve">TRANSCANADA GEN SV/CL&amp;P </w:t>
            </w:r>
          </w:p>
        </w:tc>
        <w:tc>
          <w:tcPr>
            <w:tcW w:w="1182" w:type="dxa"/>
            <w:tcBorders>
              <w:top w:val="nil"/>
              <w:left w:val="nil"/>
              <w:bottom w:val="nil"/>
              <w:right w:val="nil"/>
            </w:tcBorders>
            <w:shd w:val="clear" w:color="auto" w:fill="auto"/>
            <w:noWrap/>
            <w:vAlign w:val="bottom"/>
            <w:hideMark/>
          </w:tcPr>
          <w:p w14:paraId="4F315429"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3</w:t>
            </w:r>
          </w:p>
        </w:tc>
        <w:tc>
          <w:tcPr>
            <w:tcW w:w="262" w:type="dxa"/>
            <w:tcBorders>
              <w:top w:val="nil"/>
              <w:left w:val="nil"/>
              <w:bottom w:val="nil"/>
              <w:right w:val="single" w:sz="8" w:space="0" w:color="auto"/>
            </w:tcBorders>
            <w:shd w:val="clear" w:color="auto" w:fill="auto"/>
            <w:noWrap/>
            <w:vAlign w:val="bottom"/>
            <w:hideMark/>
          </w:tcPr>
          <w:p w14:paraId="327691B8"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3114E72D"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50ACB89D"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0D3351D4" w14:textId="77777777" w:rsidR="00A005B7" w:rsidRPr="000B432B" w:rsidRDefault="00A005B7" w:rsidP="00980C33">
            <w:pPr>
              <w:keepNext/>
              <w:keepLines/>
              <w:widowControl/>
              <w:autoSpaceDE/>
              <w:autoSpaceDN/>
              <w:adjustRightInd/>
              <w:rPr>
                <w:sz w:val="20"/>
                <w:szCs w:val="20"/>
              </w:rPr>
            </w:pPr>
            <w:r w:rsidRPr="000B432B">
              <w:rPr>
                <w:sz w:val="20"/>
                <w:szCs w:val="20"/>
              </w:rPr>
              <w:t>XOOM GEN SV/CL&amp;P</w:t>
            </w:r>
          </w:p>
        </w:tc>
        <w:tc>
          <w:tcPr>
            <w:tcW w:w="1260" w:type="dxa"/>
            <w:tcBorders>
              <w:top w:val="nil"/>
              <w:left w:val="nil"/>
              <w:bottom w:val="nil"/>
              <w:right w:val="nil"/>
            </w:tcBorders>
            <w:shd w:val="clear" w:color="auto" w:fill="auto"/>
            <w:noWrap/>
            <w:vAlign w:val="bottom"/>
            <w:hideMark/>
          </w:tcPr>
          <w:p w14:paraId="04D6EFFC"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5,780</w:t>
            </w:r>
          </w:p>
        </w:tc>
        <w:tc>
          <w:tcPr>
            <w:tcW w:w="262" w:type="dxa"/>
            <w:tcBorders>
              <w:top w:val="nil"/>
              <w:left w:val="nil"/>
              <w:bottom w:val="nil"/>
              <w:right w:val="single" w:sz="8" w:space="0" w:color="auto"/>
            </w:tcBorders>
            <w:shd w:val="clear" w:color="auto" w:fill="auto"/>
            <w:noWrap/>
            <w:vAlign w:val="bottom"/>
            <w:hideMark/>
          </w:tcPr>
          <w:p w14:paraId="44C15257"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4780AB7F"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2E400373" w14:textId="77777777" w:rsidR="00A005B7" w:rsidRPr="000B432B" w:rsidRDefault="00A005B7" w:rsidP="00980C33">
            <w:pPr>
              <w:keepNext/>
              <w:keepLines/>
              <w:widowControl/>
              <w:autoSpaceDE/>
              <w:autoSpaceDN/>
              <w:adjustRightInd/>
              <w:rPr>
                <w:color w:val="000000"/>
                <w:sz w:val="20"/>
                <w:szCs w:val="20"/>
              </w:rPr>
            </w:pPr>
          </w:p>
        </w:tc>
        <w:tc>
          <w:tcPr>
            <w:tcW w:w="1182" w:type="dxa"/>
            <w:tcBorders>
              <w:top w:val="nil"/>
              <w:left w:val="nil"/>
              <w:bottom w:val="nil"/>
              <w:right w:val="nil"/>
            </w:tcBorders>
            <w:shd w:val="clear" w:color="auto" w:fill="auto"/>
            <w:noWrap/>
            <w:vAlign w:val="bottom"/>
            <w:hideMark/>
          </w:tcPr>
          <w:p w14:paraId="68D12439" w14:textId="77777777" w:rsidR="00A005B7" w:rsidRPr="000B432B" w:rsidRDefault="00A005B7" w:rsidP="00980C33">
            <w:pPr>
              <w:keepNext/>
              <w:keepLines/>
              <w:widowControl/>
              <w:autoSpaceDE/>
              <w:autoSpaceDN/>
              <w:adjustRightInd/>
              <w:rPr>
                <w:color w:val="000000"/>
                <w:sz w:val="20"/>
                <w:szCs w:val="20"/>
              </w:rPr>
            </w:pPr>
          </w:p>
        </w:tc>
        <w:tc>
          <w:tcPr>
            <w:tcW w:w="262" w:type="dxa"/>
            <w:tcBorders>
              <w:top w:val="nil"/>
              <w:left w:val="nil"/>
              <w:bottom w:val="nil"/>
              <w:right w:val="single" w:sz="8" w:space="0" w:color="auto"/>
            </w:tcBorders>
            <w:shd w:val="clear" w:color="auto" w:fill="auto"/>
            <w:noWrap/>
            <w:vAlign w:val="bottom"/>
            <w:hideMark/>
          </w:tcPr>
          <w:p w14:paraId="3A67898E"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72288CBA" w14:textId="77777777" w:rsidTr="000B616F">
        <w:trPr>
          <w:trHeight w:val="280"/>
        </w:trPr>
        <w:tc>
          <w:tcPr>
            <w:tcW w:w="266" w:type="dxa"/>
            <w:tcBorders>
              <w:top w:val="nil"/>
              <w:left w:val="single" w:sz="8" w:space="0" w:color="auto"/>
              <w:bottom w:val="nil"/>
              <w:right w:val="nil"/>
            </w:tcBorders>
            <w:shd w:val="clear" w:color="auto" w:fill="auto"/>
            <w:noWrap/>
            <w:vAlign w:val="bottom"/>
            <w:hideMark/>
          </w:tcPr>
          <w:p w14:paraId="09F573FB"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nil"/>
              <w:right w:val="nil"/>
            </w:tcBorders>
            <w:shd w:val="clear" w:color="auto" w:fill="auto"/>
            <w:noWrap/>
            <w:vAlign w:val="bottom"/>
            <w:hideMark/>
          </w:tcPr>
          <w:p w14:paraId="286F145D" w14:textId="77777777" w:rsidR="00A005B7" w:rsidRPr="000B432B" w:rsidRDefault="00A005B7" w:rsidP="00980C33">
            <w:pPr>
              <w:keepNext/>
              <w:keepLines/>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486D05C2" w14:textId="77777777" w:rsidR="00A005B7" w:rsidRPr="000B432B" w:rsidRDefault="00A005B7" w:rsidP="00980C33">
            <w:pPr>
              <w:keepNext/>
              <w:keepLines/>
              <w:widowControl/>
              <w:autoSpaceDE/>
              <w:autoSpaceDN/>
              <w:adjustRightInd/>
              <w:ind w:firstLine="200"/>
              <w:jc w:val="right"/>
              <w:rPr>
                <w:color w:val="000000"/>
                <w:sz w:val="20"/>
                <w:szCs w:val="20"/>
              </w:rPr>
            </w:pPr>
          </w:p>
        </w:tc>
        <w:tc>
          <w:tcPr>
            <w:tcW w:w="262" w:type="dxa"/>
            <w:tcBorders>
              <w:top w:val="nil"/>
              <w:left w:val="nil"/>
              <w:bottom w:val="nil"/>
              <w:right w:val="single" w:sz="8" w:space="0" w:color="auto"/>
            </w:tcBorders>
            <w:shd w:val="clear" w:color="auto" w:fill="auto"/>
            <w:noWrap/>
            <w:vAlign w:val="bottom"/>
            <w:hideMark/>
          </w:tcPr>
          <w:p w14:paraId="1982B261"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c>
          <w:tcPr>
            <w:tcW w:w="266" w:type="dxa"/>
            <w:tcBorders>
              <w:top w:val="nil"/>
              <w:left w:val="nil"/>
              <w:bottom w:val="nil"/>
              <w:right w:val="nil"/>
            </w:tcBorders>
            <w:shd w:val="clear" w:color="auto" w:fill="auto"/>
            <w:noWrap/>
            <w:vAlign w:val="bottom"/>
            <w:hideMark/>
          </w:tcPr>
          <w:p w14:paraId="4601F0FB"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nil"/>
              <w:right w:val="nil"/>
            </w:tcBorders>
            <w:shd w:val="clear" w:color="auto" w:fill="auto"/>
            <w:noWrap/>
            <w:vAlign w:val="bottom"/>
            <w:hideMark/>
          </w:tcPr>
          <w:p w14:paraId="53869A6F" w14:textId="77777777" w:rsidR="00A005B7" w:rsidRPr="000B432B" w:rsidRDefault="00A005B7" w:rsidP="00980C33">
            <w:pPr>
              <w:keepNext/>
              <w:keepLines/>
              <w:widowControl/>
              <w:autoSpaceDE/>
              <w:autoSpaceDN/>
              <w:adjustRightInd/>
              <w:rPr>
                <w:b/>
                <w:bCs/>
                <w:color w:val="000000"/>
                <w:sz w:val="20"/>
                <w:szCs w:val="20"/>
              </w:rPr>
            </w:pPr>
            <w:r w:rsidRPr="000B432B">
              <w:rPr>
                <w:b/>
                <w:bCs/>
                <w:color w:val="000000"/>
                <w:sz w:val="20"/>
                <w:szCs w:val="20"/>
              </w:rPr>
              <w:t>All Suppliers</w:t>
            </w:r>
          </w:p>
        </w:tc>
        <w:tc>
          <w:tcPr>
            <w:tcW w:w="1182" w:type="dxa"/>
            <w:tcBorders>
              <w:top w:val="nil"/>
              <w:left w:val="nil"/>
              <w:bottom w:val="nil"/>
              <w:right w:val="nil"/>
            </w:tcBorders>
            <w:shd w:val="clear" w:color="auto" w:fill="auto"/>
            <w:noWrap/>
            <w:vAlign w:val="bottom"/>
            <w:hideMark/>
          </w:tcPr>
          <w:p w14:paraId="6DDF7893" w14:textId="77777777" w:rsidR="00A005B7" w:rsidRPr="000B432B" w:rsidRDefault="00A005B7" w:rsidP="00980C33">
            <w:pPr>
              <w:keepNext/>
              <w:keepLines/>
              <w:widowControl/>
              <w:autoSpaceDE/>
              <w:autoSpaceDN/>
              <w:adjustRightInd/>
              <w:jc w:val="right"/>
              <w:rPr>
                <w:b/>
                <w:bCs/>
                <w:color w:val="000000"/>
                <w:sz w:val="20"/>
                <w:szCs w:val="20"/>
              </w:rPr>
            </w:pPr>
            <w:r w:rsidRPr="000B432B">
              <w:rPr>
                <w:b/>
                <w:bCs/>
                <w:color w:val="000000"/>
                <w:sz w:val="20"/>
                <w:szCs w:val="20"/>
              </w:rPr>
              <w:t xml:space="preserve"> 440,291 </w:t>
            </w:r>
          </w:p>
        </w:tc>
        <w:tc>
          <w:tcPr>
            <w:tcW w:w="262" w:type="dxa"/>
            <w:tcBorders>
              <w:top w:val="nil"/>
              <w:left w:val="nil"/>
              <w:bottom w:val="nil"/>
              <w:right w:val="single" w:sz="8" w:space="0" w:color="auto"/>
            </w:tcBorders>
            <w:shd w:val="clear" w:color="auto" w:fill="auto"/>
            <w:noWrap/>
            <w:vAlign w:val="bottom"/>
            <w:hideMark/>
          </w:tcPr>
          <w:p w14:paraId="3121A0F4" w14:textId="77777777" w:rsidR="00A005B7" w:rsidRPr="000B432B" w:rsidRDefault="00A005B7" w:rsidP="00980C33">
            <w:pPr>
              <w:keepNext/>
              <w:keepLines/>
              <w:widowControl/>
              <w:autoSpaceDE/>
              <w:autoSpaceDN/>
              <w:adjustRightInd/>
              <w:rPr>
                <w:rFonts w:ascii="Calibri" w:hAnsi="Calibri"/>
                <w:color w:val="000000"/>
                <w:sz w:val="20"/>
                <w:szCs w:val="20"/>
              </w:rPr>
            </w:pPr>
            <w:r w:rsidRPr="000B432B">
              <w:rPr>
                <w:rFonts w:ascii="Calibri" w:hAnsi="Calibri"/>
                <w:color w:val="000000"/>
                <w:sz w:val="20"/>
                <w:szCs w:val="20"/>
              </w:rPr>
              <w:t> </w:t>
            </w:r>
          </w:p>
        </w:tc>
      </w:tr>
      <w:tr w:rsidR="00A005B7" w:rsidRPr="000B432B" w14:paraId="646DF112" w14:textId="77777777" w:rsidTr="000B616F">
        <w:trPr>
          <w:trHeight w:val="300"/>
        </w:trPr>
        <w:tc>
          <w:tcPr>
            <w:tcW w:w="266" w:type="dxa"/>
            <w:tcBorders>
              <w:top w:val="nil"/>
              <w:left w:val="single" w:sz="8" w:space="0" w:color="auto"/>
              <w:bottom w:val="single" w:sz="8" w:space="0" w:color="auto"/>
              <w:right w:val="nil"/>
            </w:tcBorders>
            <w:shd w:val="clear" w:color="auto" w:fill="auto"/>
            <w:noWrap/>
            <w:vAlign w:val="bottom"/>
            <w:hideMark/>
          </w:tcPr>
          <w:p w14:paraId="18AB9E7A"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349" w:type="dxa"/>
            <w:tcBorders>
              <w:top w:val="nil"/>
              <w:left w:val="nil"/>
              <w:bottom w:val="single" w:sz="8" w:space="0" w:color="auto"/>
              <w:right w:val="nil"/>
            </w:tcBorders>
            <w:shd w:val="clear" w:color="auto" w:fill="auto"/>
            <w:noWrap/>
            <w:vAlign w:val="bottom"/>
            <w:hideMark/>
          </w:tcPr>
          <w:p w14:paraId="0AEB7F2C" w14:textId="77777777" w:rsidR="00A005B7" w:rsidRPr="000B432B" w:rsidRDefault="00A005B7" w:rsidP="00980C33">
            <w:pPr>
              <w:keepNext/>
              <w:keepLines/>
              <w:widowControl/>
              <w:autoSpaceDE/>
              <w:autoSpaceDN/>
              <w:adjustRightInd/>
              <w:rPr>
                <w:sz w:val="20"/>
                <w:szCs w:val="20"/>
              </w:rPr>
            </w:pPr>
            <w:r w:rsidRPr="000B432B">
              <w:rPr>
                <w:sz w:val="20"/>
                <w:szCs w:val="20"/>
              </w:rPr>
              <w:t> </w:t>
            </w:r>
          </w:p>
        </w:tc>
        <w:tc>
          <w:tcPr>
            <w:tcW w:w="1260" w:type="dxa"/>
            <w:tcBorders>
              <w:top w:val="nil"/>
              <w:left w:val="nil"/>
              <w:bottom w:val="single" w:sz="8" w:space="0" w:color="auto"/>
              <w:right w:val="nil"/>
            </w:tcBorders>
            <w:shd w:val="clear" w:color="auto" w:fill="auto"/>
            <w:noWrap/>
            <w:vAlign w:val="bottom"/>
            <w:hideMark/>
          </w:tcPr>
          <w:p w14:paraId="077A6E17" w14:textId="77777777" w:rsidR="00A005B7" w:rsidRPr="000B432B" w:rsidRDefault="00A005B7" w:rsidP="00980C33">
            <w:pPr>
              <w:keepNext/>
              <w:keepLines/>
              <w:widowControl/>
              <w:autoSpaceDE/>
              <w:autoSpaceDN/>
              <w:adjustRightInd/>
              <w:ind w:firstLine="200"/>
              <w:jc w:val="right"/>
              <w:rPr>
                <w:color w:val="000000"/>
                <w:sz w:val="20"/>
                <w:szCs w:val="20"/>
              </w:rPr>
            </w:pPr>
            <w:r w:rsidRPr="000B432B">
              <w:rPr>
                <w:color w:val="000000"/>
                <w:sz w:val="20"/>
                <w:szCs w:val="20"/>
              </w:rPr>
              <w:t> </w:t>
            </w:r>
          </w:p>
        </w:tc>
        <w:tc>
          <w:tcPr>
            <w:tcW w:w="262" w:type="dxa"/>
            <w:tcBorders>
              <w:top w:val="nil"/>
              <w:left w:val="nil"/>
              <w:bottom w:val="single" w:sz="8" w:space="0" w:color="auto"/>
              <w:right w:val="single" w:sz="8" w:space="0" w:color="auto"/>
            </w:tcBorders>
            <w:shd w:val="clear" w:color="auto" w:fill="auto"/>
            <w:noWrap/>
            <w:vAlign w:val="bottom"/>
            <w:hideMark/>
          </w:tcPr>
          <w:p w14:paraId="7EDE172F" w14:textId="77777777" w:rsidR="00A005B7" w:rsidRPr="000B432B" w:rsidRDefault="00A005B7" w:rsidP="00980C33">
            <w:pPr>
              <w:keepNext/>
              <w:keepLines/>
              <w:widowControl/>
              <w:autoSpaceDE/>
              <w:autoSpaceDN/>
              <w:adjustRightInd/>
              <w:rPr>
                <w:rFonts w:ascii="Calibri" w:hAnsi="Calibri"/>
                <w:b/>
                <w:bCs/>
                <w:color w:val="000000"/>
                <w:sz w:val="20"/>
                <w:szCs w:val="20"/>
              </w:rPr>
            </w:pPr>
            <w:r w:rsidRPr="000B432B">
              <w:rPr>
                <w:rFonts w:ascii="Calibri" w:hAnsi="Calibri"/>
                <w:b/>
                <w:bCs/>
                <w:color w:val="000000"/>
                <w:sz w:val="20"/>
                <w:szCs w:val="20"/>
              </w:rPr>
              <w:t> </w:t>
            </w:r>
          </w:p>
        </w:tc>
        <w:tc>
          <w:tcPr>
            <w:tcW w:w="266" w:type="dxa"/>
            <w:tcBorders>
              <w:top w:val="nil"/>
              <w:left w:val="nil"/>
              <w:bottom w:val="single" w:sz="8" w:space="0" w:color="auto"/>
              <w:right w:val="nil"/>
            </w:tcBorders>
            <w:shd w:val="clear" w:color="auto" w:fill="auto"/>
            <w:noWrap/>
            <w:vAlign w:val="bottom"/>
            <w:hideMark/>
          </w:tcPr>
          <w:p w14:paraId="292C5412"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3240" w:type="dxa"/>
            <w:tcBorders>
              <w:top w:val="nil"/>
              <w:left w:val="nil"/>
              <w:bottom w:val="single" w:sz="8" w:space="0" w:color="auto"/>
              <w:right w:val="nil"/>
            </w:tcBorders>
            <w:shd w:val="clear" w:color="auto" w:fill="auto"/>
            <w:noWrap/>
            <w:vAlign w:val="bottom"/>
            <w:hideMark/>
          </w:tcPr>
          <w:p w14:paraId="24A202E5"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1182" w:type="dxa"/>
            <w:tcBorders>
              <w:top w:val="nil"/>
              <w:left w:val="nil"/>
              <w:bottom w:val="single" w:sz="8" w:space="0" w:color="auto"/>
              <w:right w:val="nil"/>
            </w:tcBorders>
            <w:shd w:val="clear" w:color="auto" w:fill="auto"/>
            <w:noWrap/>
            <w:vAlign w:val="bottom"/>
            <w:hideMark/>
          </w:tcPr>
          <w:p w14:paraId="7655C230" w14:textId="77777777" w:rsidR="00A005B7" w:rsidRPr="000B432B" w:rsidRDefault="00A005B7" w:rsidP="00980C33">
            <w:pPr>
              <w:keepNext/>
              <w:keepLines/>
              <w:widowControl/>
              <w:autoSpaceDE/>
              <w:autoSpaceDN/>
              <w:adjustRightInd/>
              <w:rPr>
                <w:color w:val="000000"/>
                <w:sz w:val="20"/>
                <w:szCs w:val="20"/>
              </w:rPr>
            </w:pPr>
            <w:r w:rsidRPr="000B432B">
              <w:rPr>
                <w:color w:val="000000"/>
                <w:sz w:val="20"/>
                <w:szCs w:val="20"/>
              </w:rPr>
              <w:t> </w:t>
            </w:r>
          </w:p>
        </w:tc>
        <w:tc>
          <w:tcPr>
            <w:tcW w:w="262" w:type="dxa"/>
            <w:tcBorders>
              <w:top w:val="nil"/>
              <w:left w:val="nil"/>
              <w:bottom w:val="single" w:sz="8" w:space="0" w:color="auto"/>
              <w:right w:val="single" w:sz="8" w:space="0" w:color="auto"/>
            </w:tcBorders>
            <w:shd w:val="clear" w:color="auto" w:fill="auto"/>
            <w:noWrap/>
            <w:vAlign w:val="bottom"/>
            <w:hideMark/>
          </w:tcPr>
          <w:p w14:paraId="530791B7" w14:textId="77777777" w:rsidR="00A005B7" w:rsidRPr="000B432B" w:rsidRDefault="00A005B7" w:rsidP="00980C33">
            <w:pPr>
              <w:keepNext/>
              <w:keepLines/>
              <w:widowControl/>
              <w:autoSpaceDE/>
              <w:autoSpaceDN/>
              <w:adjustRightInd/>
              <w:rPr>
                <w:rFonts w:ascii="Calibri" w:hAnsi="Calibri"/>
                <w:b/>
                <w:bCs/>
                <w:color w:val="000000"/>
                <w:sz w:val="20"/>
                <w:szCs w:val="20"/>
              </w:rPr>
            </w:pPr>
            <w:r w:rsidRPr="000B432B">
              <w:rPr>
                <w:rFonts w:ascii="Calibri" w:hAnsi="Calibri"/>
                <w:b/>
                <w:bCs/>
                <w:color w:val="000000"/>
                <w:sz w:val="20"/>
                <w:szCs w:val="20"/>
              </w:rPr>
              <w:t> </w:t>
            </w:r>
          </w:p>
        </w:tc>
      </w:tr>
    </w:tbl>
    <w:p w14:paraId="68C62657" w14:textId="77777777" w:rsidR="00FE04ED" w:rsidRDefault="00FE04ED" w:rsidP="00A005B7">
      <w:pPr>
        <w:spacing w:line="480" w:lineRule="auto"/>
        <w:ind w:left="720" w:hanging="720"/>
        <w:rPr>
          <w:b/>
        </w:rPr>
      </w:pPr>
    </w:p>
    <w:p w14:paraId="14B9B98A" w14:textId="77777777" w:rsidR="00A005B7" w:rsidRDefault="00A005B7" w:rsidP="00A005B7">
      <w:pPr>
        <w:spacing w:line="480" w:lineRule="auto"/>
        <w:ind w:left="720" w:hanging="720"/>
        <w:rPr>
          <w:b/>
        </w:rPr>
      </w:pPr>
      <w:r>
        <w:rPr>
          <w:b/>
        </w:rPr>
        <w:t>Q:</w:t>
      </w:r>
      <w:r>
        <w:rPr>
          <w:b/>
        </w:rPr>
        <w:tab/>
        <w:t>What were you able to conclude about the prices of electricity provided by the</w:t>
      </w:r>
      <w:r w:rsidR="00A93FF2">
        <w:rPr>
          <w:b/>
        </w:rPr>
        <w:t xml:space="preserve"> Supplier</w:t>
      </w:r>
      <w:r>
        <w:rPr>
          <w:b/>
        </w:rPr>
        <w:t>s?</w:t>
      </w:r>
    </w:p>
    <w:p w14:paraId="340FA61F" w14:textId="77777777" w:rsidR="000E5AA3" w:rsidRDefault="00A005B7" w:rsidP="00871ECB">
      <w:pPr>
        <w:spacing w:line="480" w:lineRule="auto"/>
        <w:ind w:left="720" w:hanging="720"/>
      </w:pPr>
      <w:r>
        <w:t>A:</w:t>
      </w:r>
      <w:r>
        <w:tab/>
        <w:t xml:space="preserve">Overall, the weighted average price for electricity that residential consumers </w:t>
      </w:r>
      <w:r w:rsidR="00E62398">
        <w:t>in CL&amp;P’s territory</w:t>
      </w:r>
      <w:r w:rsidR="004C61E1">
        <w:t xml:space="preserve"> </w:t>
      </w:r>
      <w:r w:rsidR="00C447BD">
        <w:t>paid</w:t>
      </w:r>
      <w:r w:rsidR="00A93FF2">
        <w:t xml:space="preserve"> Supplier</w:t>
      </w:r>
      <w:r>
        <w:t>s (</w:t>
      </w:r>
      <w:r w:rsidRPr="00305636">
        <w:rPr>
          <w:i/>
        </w:rPr>
        <w:t>i.e.</w:t>
      </w:r>
      <w:r>
        <w:t>, not the standard rate)</w:t>
      </w:r>
      <w:r w:rsidR="005F7411">
        <w:t xml:space="preserve"> during this time period was</w:t>
      </w:r>
      <w:r>
        <w:t xml:space="preserve"> </w:t>
      </w:r>
      <w:r w:rsidRPr="00FE5180">
        <w:t>$0.10763</w:t>
      </w:r>
      <w:r w:rsidR="00174290">
        <w:t>.</w:t>
      </w:r>
      <w:r>
        <w:t xml:space="preserve"> This is over 42% higher than CL&amp;P’s </w:t>
      </w:r>
      <w:r w:rsidR="00A93FF2">
        <w:t>Standard Offer</w:t>
      </w:r>
      <w:r>
        <w:t xml:space="preserve"> price of $0.07573.</w:t>
      </w:r>
      <w:r>
        <w:rPr>
          <w:rStyle w:val="FootnoteReference"/>
        </w:rPr>
        <w:footnoteReference w:id="48"/>
      </w:r>
      <w:r>
        <w:t xml:space="preserve">  In total, 56,518 residential customers </w:t>
      </w:r>
      <w:r w:rsidR="00167073">
        <w:t>paid</w:t>
      </w:r>
      <w:r>
        <w:t xml:space="preserve"> less than CL&amp;P’s </w:t>
      </w:r>
      <w:r w:rsidR="00A93FF2">
        <w:t>Standard Offer</w:t>
      </w:r>
      <w:r>
        <w:t xml:space="preserve">, 6 </w:t>
      </w:r>
      <w:r w:rsidRPr="0095491A">
        <w:t xml:space="preserve">residential customers </w:t>
      </w:r>
      <w:r w:rsidR="00167073">
        <w:t>paid</w:t>
      </w:r>
      <w:r w:rsidRPr="0095491A">
        <w:t xml:space="preserve"> the same price as the </w:t>
      </w:r>
      <w:r w:rsidR="00A93FF2">
        <w:t>Standard Offer</w:t>
      </w:r>
      <w:r>
        <w:t>,</w:t>
      </w:r>
      <w:r w:rsidRPr="0095491A">
        <w:t xml:space="preserve"> and</w:t>
      </w:r>
      <w:r>
        <w:rPr>
          <w:b/>
        </w:rPr>
        <w:t xml:space="preserve"> </w:t>
      </w:r>
      <w:r>
        <w:t>383,763 (or 87</w:t>
      </w:r>
      <w:r w:rsidRPr="0095491A">
        <w:t>%</w:t>
      </w:r>
      <w:r>
        <w:t xml:space="preserve"> of</w:t>
      </w:r>
      <w:r w:rsidR="00A93FF2">
        <w:t xml:space="preserve"> Supplier</w:t>
      </w:r>
      <w:r>
        <w:t>s’ residential customers)</w:t>
      </w:r>
      <w:r w:rsidRPr="0095491A">
        <w:t xml:space="preserve"> </w:t>
      </w:r>
      <w:r w:rsidR="00167073">
        <w:t xml:space="preserve">paid </w:t>
      </w:r>
      <w:r w:rsidRPr="0095491A">
        <w:t xml:space="preserve">more than CL&amp;P’s </w:t>
      </w:r>
      <w:r w:rsidR="00A93FF2">
        <w:t>Standard Offer</w:t>
      </w:r>
      <w:r w:rsidRPr="0095491A">
        <w:t>.</w:t>
      </w:r>
      <w:r>
        <w:rPr>
          <w:rStyle w:val="FootnoteReference"/>
        </w:rPr>
        <w:footnoteReference w:id="49"/>
      </w:r>
      <w:r>
        <w:t xml:space="preserve"> </w:t>
      </w:r>
      <w:r w:rsidR="00FE04ED">
        <w:t xml:space="preserve"> </w:t>
      </w:r>
    </w:p>
    <w:p w14:paraId="5764B592" w14:textId="77777777" w:rsidR="00A005B7" w:rsidRDefault="00A005B7" w:rsidP="00A005B7">
      <w:pPr>
        <w:spacing w:line="480" w:lineRule="auto"/>
        <w:ind w:left="720" w:hanging="720"/>
        <w:rPr>
          <w:b/>
        </w:rPr>
      </w:pPr>
      <w:r>
        <w:rPr>
          <w:b/>
        </w:rPr>
        <w:t>Q:</w:t>
      </w:r>
      <w:r>
        <w:rPr>
          <w:b/>
        </w:rPr>
        <w:tab/>
        <w:t>Do you have data on the individual</w:t>
      </w:r>
      <w:r w:rsidR="00A93FF2">
        <w:rPr>
          <w:b/>
        </w:rPr>
        <w:t xml:space="preserve"> Supplier</w:t>
      </w:r>
      <w:r>
        <w:rPr>
          <w:b/>
        </w:rPr>
        <w:t>s’ rates?</w:t>
      </w:r>
    </w:p>
    <w:p w14:paraId="4D9698BA" w14:textId="77777777" w:rsidR="00A005B7" w:rsidRDefault="00A005B7" w:rsidP="00A005B7">
      <w:pPr>
        <w:spacing w:line="480" w:lineRule="auto"/>
        <w:ind w:left="720" w:hanging="720"/>
      </w:pPr>
      <w:r>
        <w:t>A:</w:t>
      </w:r>
      <w:r>
        <w:tab/>
        <w:t>Each</w:t>
      </w:r>
      <w:r w:rsidR="00A93FF2">
        <w:t xml:space="preserve"> Supplier</w:t>
      </w:r>
      <w:r>
        <w:t xml:space="preserve"> has multiple rates.  In </w:t>
      </w:r>
      <w:r w:rsidR="00E133A6">
        <w:t xml:space="preserve">Confidential </w:t>
      </w:r>
      <w:r w:rsidR="000226D5">
        <w:t xml:space="preserve">Table </w:t>
      </w:r>
      <w:r w:rsidR="00E133A6">
        <w:t>C-</w:t>
      </w:r>
      <w:r w:rsidR="0055710F">
        <w:t>13</w:t>
      </w:r>
      <w:r>
        <w:t xml:space="preserve"> below, </w:t>
      </w:r>
      <w:r w:rsidR="00EF0A1E">
        <w:t>we</w:t>
      </w:r>
      <w:r>
        <w:t xml:space="preserve"> provide a summary of the weighted average price, number of customers served, the highest price and the lowest price charged by each of the 19 largest</w:t>
      </w:r>
      <w:r w:rsidR="00A93FF2">
        <w:t xml:space="preserve"> Supplier</w:t>
      </w:r>
      <w:r>
        <w:t>s (</w:t>
      </w:r>
      <w:r w:rsidRPr="00885645">
        <w:rPr>
          <w:i/>
        </w:rPr>
        <w:t>i.e.</w:t>
      </w:r>
      <w:r w:rsidR="00525576">
        <w:t>,</w:t>
      </w:r>
      <w:r>
        <w:t xml:space="preserve"> those with 5,000 or more customers) for those customers billed by CL&amp;P.  </w:t>
      </w:r>
      <w:r w:rsidR="00EF0A1E">
        <w:t>We</w:t>
      </w:r>
      <w:r>
        <w:t xml:space="preserve"> provide the full list of</w:t>
      </w:r>
      <w:r w:rsidR="00A93FF2">
        <w:t xml:space="preserve"> Supplier</w:t>
      </w:r>
      <w:r>
        <w:t xml:space="preserve">s and weighted average prices as </w:t>
      </w:r>
      <w:r w:rsidR="00B87C53">
        <w:t>Confidential Exhibit</w:t>
      </w:r>
      <w:r w:rsidR="00EF0A1E">
        <w:t xml:space="preserve"> </w:t>
      </w:r>
      <w:r w:rsidR="00B87C53">
        <w:t>C-5</w:t>
      </w:r>
      <w:r>
        <w:t xml:space="preserve"> to </w:t>
      </w:r>
      <w:r w:rsidR="00AD6779">
        <w:t xml:space="preserve">our </w:t>
      </w:r>
      <w:r>
        <w:t>testimony.</w:t>
      </w:r>
      <w:r w:rsidR="00F71EB2">
        <w:t xml:space="preserve"> </w:t>
      </w:r>
      <w:r w:rsidR="00C92E65">
        <w:t xml:space="preserve"> </w:t>
      </w:r>
    </w:p>
    <w:p w14:paraId="256DE69F" w14:textId="77777777" w:rsidR="00A005B7" w:rsidRDefault="00E133A6" w:rsidP="000226D5">
      <w:pPr>
        <w:keepNext/>
        <w:keepLines/>
        <w:ind w:left="720" w:hanging="720"/>
        <w:jc w:val="center"/>
        <w:rPr>
          <w:b/>
        </w:rPr>
      </w:pPr>
      <w:r>
        <w:rPr>
          <w:b/>
        </w:rPr>
        <w:t xml:space="preserve">Confidential </w:t>
      </w:r>
      <w:r w:rsidR="00A005B7">
        <w:rPr>
          <w:b/>
        </w:rPr>
        <w:t xml:space="preserve">Table </w:t>
      </w:r>
      <w:r>
        <w:rPr>
          <w:b/>
        </w:rPr>
        <w:t>C-</w:t>
      </w:r>
      <w:r w:rsidR="000226D5">
        <w:rPr>
          <w:b/>
        </w:rPr>
        <w:t>1</w:t>
      </w:r>
      <w:r w:rsidR="0055710F">
        <w:rPr>
          <w:b/>
        </w:rPr>
        <w:t>3</w:t>
      </w:r>
      <w:r w:rsidR="00A005B7">
        <w:rPr>
          <w:rStyle w:val="FootnoteReference"/>
          <w:b/>
        </w:rPr>
        <w:footnoteReference w:id="50"/>
      </w:r>
    </w:p>
    <w:p w14:paraId="04352D71" w14:textId="77777777" w:rsidR="00A005B7" w:rsidRDefault="00A005B7" w:rsidP="000226D5">
      <w:pPr>
        <w:keepNext/>
        <w:keepLines/>
        <w:ind w:left="720" w:hanging="720"/>
        <w:jc w:val="center"/>
        <w:rPr>
          <w:b/>
        </w:rPr>
      </w:pPr>
      <w:r>
        <w:rPr>
          <w:b/>
        </w:rPr>
        <w:t xml:space="preserve">Weighted Average </w:t>
      </w:r>
      <w:r w:rsidR="000226D5">
        <w:rPr>
          <w:b/>
        </w:rPr>
        <w:t xml:space="preserve">Price of Suppliers </w:t>
      </w:r>
      <w:r>
        <w:rPr>
          <w:b/>
        </w:rPr>
        <w:t>With at Least 5,000 Customers</w:t>
      </w:r>
    </w:p>
    <w:p w14:paraId="071D0D10" w14:textId="77777777" w:rsidR="000226D5" w:rsidRDefault="000226D5" w:rsidP="000226D5">
      <w:pPr>
        <w:keepNext/>
        <w:keepLines/>
        <w:ind w:left="720" w:hanging="720"/>
        <w:jc w:val="center"/>
        <w:rPr>
          <w:b/>
        </w:rPr>
      </w:pPr>
    </w:p>
    <w:p w14:paraId="008ADD75" w14:textId="77777777" w:rsidR="00A005B7" w:rsidRDefault="00A005B7" w:rsidP="00A005B7">
      <w:pPr>
        <w:keepNext/>
        <w:keepLines/>
        <w:spacing w:line="480" w:lineRule="auto"/>
        <w:ind w:left="720" w:hanging="720"/>
        <w:rPr>
          <w:b/>
        </w:rPr>
      </w:pPr>
      <w:r>
        <w:rPr>
          <w:b/>
        </w:rPr>
        <w:t>&lt;&lt;&lt;BEGIN CONFIDENTIAL</w:t>
      </w:r>
    </w:p>
    <w:tbl>
      <w:tblPr>
        <w:tblW w:w="10234" w:type="dxa"/>
        <w:tblInd w:w="93" w:type="dxa"/>
        <w:tblLayout w:type="fixed"/>
        <w:tblLook w:val="04A0" w:firstRow="1" w:lastRow="0" w:firstColumn="1" w:lastColumn="0" w:noHBand="0" w:noVBand="1"/>
      </w:tblPr>
      <w:tblGrid>
        <w:gridCol w:w="266"/>
        <w:gridCol w:w="3349"/>
        <w:gridCol w:w="1300"/>
        <w:gridCol w:w="1130"/>
        <w:gridCol w:w="1323"/>
        <w:gridCol w:w="1300"/>
        <w:gridCol w:w="1300"/>
        <w:gridCol w:w="266"/>
      </w:tblGrid>
      <w:tr w:rsidR="00A005B7" w:rsidRPr="00C25C14" w14:paraId="07C5CD48" w14:textId="77777777" w:rsidTr="000B616F">
        <w:trPr>
          <w:trHeight w:val="1300"/>
        </w:trPr>
        <w:tc>
          <w:tcPr>
            <w:tcW w:w="266" w:type="dxa"/>
            <w:tcBorders>
              <w:top w:val="single" w:sz="8" w:space="0" w:color="auto"/>
              <w:left w:val="single" w:sz="8" w:space="0" w:color="auto"/>
              <w:bottom w:val="single" w:sz="8" w:space="0" w:color="auto"/>
              <w:right w:val="nil"/>
            </w:tcBorders>
            <w:shd w:val="clear" w:color="auto" w:fill="auto"/>
            <w:vAlign w:val="center"/>
            <w:hideMark/>
          </w:tcPr>
          <w:p w14:paraId="6A5E7F48" w14:textId="77777777" w:rsidR="00A005B7" w:rsidRPr="00C25C14" w:rsidRDefault="00A005B7" w:rsidP="000B616F">
            <w:pPr>
              <w:keepNext/>
              <w:keepLines/>
              <w:widowControl/>
              <w:autoSpaceDE/>
              <w:autoSpaceDN/>
              <w:adjustRightInd/>
              <w:jc w:val="center"/>
              <w:rPr>
                <w:b/>
                <w:bCs/>
                <w:color w:val="000000"/>
                <w:sz w:val="20"/>
                <w:szCs w:val="20"/>
              </w:rPr>
            </w:pPr>
            <w:r w:rsidRPr="00C25C14">
              <w:rPr>
                <w:b/>
                <w:bCs/>
                <w:color w:val="000000"/>
                <w:sz w:val="20"/>
                <w:szCs w:val="20"/>
              </w:rPr>
              <w:t> </w:t>
            </w:r>
          </w:p>
        </w:tc>
        <w:tc>
          <w:tcPr>
            <w:tcW w:w="3349" w:type="dxa"/>
            <w:tcBorders>
              <w:top w:val="single" w:sz="8" w:space="0" w:color="auto"/>
              <w:left w:val="nil"/>
              <w:bottom w:val="single" w:sz="8" w:space="0" w:color="auto"/>
              <w:right w:val="nil"/>
            </w:tcBorders>
            <w:shd w:val="clear" w:color="auto" w:fill="auto"/>
            <w:vAlign w:val="center"/>
            <w:hideMark/>
          </w:tcPr>
          <w:p w14:paraId="4645ECAF" w14:textId="77777777" w:rsidR="00A005B7" w:rsidRPr="00C25C14" w:rsidRDefault="00A005B7" w:rsidP="000B616F">
            <w:pPr>
              <w:keepNext/>
              <w:keepLines/>
              <w:widowControl/>
              <w:autoSpaceDE/>
              <w:autoSpaceDN/>
              <w:adjustRightInd/>
              <w:jc w:val="center"/>
              <w:rPr>
                <w:b/>
                <w:bCs/>
                <w:color w:val="000000"/>
              </w:rPr>
            </w:pPr>
            <w:r w:rsidRPr="00C25C14">
              <w:rPr>
                <w:b/>
                <w:bCs/>
                <w:color w:val="000000"/>
              </w:rPr>
              <w:t>Supplier</w:t>
            </w:r>
          </w:p>
        </w:tc>
        <w:tc>
          <w:tcPr>
            <w:tcW w:w="1300" w:type="dxa"/>
            <w:tcBorders>
              <w:top w:val="single" w:sz="8" w:space="0" w:color="auto"/>
              <w:left w:val="nil"/>
              <w:bottom w:val="single" w:sz="8" w:space="0" w:color="auto"/>
              <w:right w:val="nil"/>
            </w:tcBorders>
            <w:shd w:val="clear" w:color="auto" w:fill="auto"/>
            <w:vAlign w:val="center"/>
            <w:hideMark/>
          </w:tcPr>
          <w:p w14:paraId="0395E0BA" w14:textId="77777777" w:rsidR="00A005B7" w:rsidRPr="00C25C14" w:rsidRDefault="00A005B7" w:rsidP="000B616F">
            <w:pPr>
              <w:keepNext/>
              <w:keepLines/>
              <w:widowControl/>
              <w:autoSpaceDE/>
              <w:autoSpaceDN/>
              <w:adjustRightInd/>
              <w:jc w:val="center"/>
              <w:rPr>
                <w:b/>
                <w:bCs/>
                <w:color w:val="000000"/>
              </w:rPr>
            </w:pPr>
            <w:r w:rsidRPr="00C25C14">
              <w:rPr>
                <w:b/>
                <w:bCs/>
                <w:color w:val="000000"/>
              </w:rPr>
              <w:t>Weighted Average Price of Supplier</w:t>
            </w:r>
          </w:p>
        </w:tc>
        <w:tc>
          <w:tcPr>
            <w:tcW w:w="1130" w:type="dxa"/>
            <w:tcBorders>
              <w:top w:val="single" w:sz="8" w:space="0" w:color="auto"/>
              <w:left w:val="nil"/>
              <w:bottom w:val="single" w:sz="8" w:space="0" w:color="auto"/>
              <w:right w:val="nil"/>
            </w:tcBorders>
            <w:shd w:val="clear" w:color="auto" w:fill="auto"/>
            <w:vAlign w:val="center"/>
            <w:hideMark/>
          </w:tcPr>
          <w:p w14:paraId="27DAE94F" w14:textId="77777777" w:rsidR="00A005B7" w:rsidRPr="00C25C14" w:rsidRDefault="00A005B7" w:rsidP="000B616F">
            <w:pPr>
              <w:keepNext/>
              <w:keepLines/>
              <w:widowControl/>
              <w:autoSpaceDE/>
              <w:autoSpaceDN/>
              <w:adjustRightInd/>
              <w:jc w:val="center"/>
              <w:rPr>
                <w:b/>
                <w:bCs/>
                <w:color w:val="000000"/>
              </w:rPr>
            </w:pPr>
            <w:r w:rsidRPr="00C25C14">
              <w:rPr>
                <w:b/>
                <w:bCs/>
                <w:color w:val="000000"/>
              </w:rPr>
              <w:t>Count of Supplier Prices</w:t>
            </w:r>
          </w:p>
        </w:tc>
        <w:tc>
          <w:tcPr>
            <w:tcW w:w="1323" w:type="dxa"/>
            <w:tcBorders>
              <w:top w:val="single" w:sz="8" w:space="0" w:color="auto"/>
              <w:left w:val="nil"/>
              <w:bottom w:val="single" w:sz="8" w:space="0" w:color="auto"/>
              <w:right w:val="nil"/>
            </w:tcBorders>
            <w:shd w:val="clear" w:color="auto" w:fill="auto"/>
            <w:vAlign w:val="center"/>
            <w:hideMark/>
          </w:tcPr>
          <w:p w14:paraId="143535D9" w14:textId="77777777" w:rsidR="00A005B7" w:rsidRPr="00C25C14" w:rsidRDefault="00A005B7" w:rsidP="000B616F">
            <w:pPr>
              <w:keepNext/>
              <w:keepLines/>
              <w:widowControl/>
              <w:autoSpaceDE/>
              <w:autoSpaceDN/>
              <w:adjustRightInd/>
              <w:jc w:val="center"/>
              <w:rPr>
                <w:b/>
                <w:bCs/>
                <w:color w:val="000000"/>
              </w:rPr>
            </w:pPr>
            <w:r w:rsidRPr="00C25C14">
              <w:rPr>
                <w:b/>
                <w:bCs/>
                <w:color w:val="000000"/>
              </w:rPr>
              <w:t>Number of Customers</w:t>
            </w:r>
          </w:p>
        </w:tc>
        <w:tc>
          <w:tcPr>
            <w:tcW w:w="1300" w:type="dxa"/>
            <w:tcBorders>
              <w:top w:val="single" w:sz="8" w:space="0" w:color="auto"/>
              <w:left w:val="nil"/>
              <w:bottom w:val="single" w:sz="8" w:space="0" w:color="auto"/>
              <w:right w:val="nil"/>
            </w:tcBorders>
            <w:shd w:val="clear" w:color="auto" w:fill="auto"/>
            <w:vAlign w:val="center"/>
            <w:hideMark/>
          </w:tcPr>
          <w:p w14:paraId="585F7782" w14:textId="77777777" w:rsidR="00A005B7" w:rsidRPr="00C25C14" w:rsidRDefault="00A005B7" w:rsidP="000B616F">
            <w:pPr>
              <w:keepNext/>
              <w:keepLines/>
              <w:widowControl/>
              <w:autoSpaceDE/>
              <w:autoSpaceDN/>
              <w:adjustRightInd/>
              <w:jc w:val="center"/>
              <w:rPr>
                <w:b/>
                <w:bCs/>
                <w:color w:val="000000"/>
              </w:rPr>
            </w:pPr>
            <w:r w:rsidRPr="00C25C14">
              <w:rPr>
                <w:b/>
                <w:bCs/>
                <w:color w:val="000000"/>
              </w:rPr>
              <w:t>Highest Price of Supplier</w:t>
            </w:r>
          </w:p>
        </w:tc>
        <w:tc>
          <w:tcPr>
            <w:tcW w:w="1300" w:type="dxa"/>
            <w:tcBorders>
              <w:top w:val="single" w:sz="8" w:space="0" w:color="auto"/>
              <w:left w:val="nil"/>
              <w:bottom w:val="single" w:sz="8" w:space="0" w:color="auto"/>
              <w:right w:val="nil"/>
            </w:tcBorders>
            <w:shd w:val="clear" w:color="auto" w:fill="auto"/>
            <w:vAlign w:val="center"/>
            <w:hideMark/>
          </w:tcPr>
          <w:p w14:paraId="6178A079" w14:textId="77777777" w:rsidR="00A005B7" w:rsidRPr="00C25C14" w:rsidRDefault="00A005B7" w:rsidP="000B616F">
            <w:pPr>
              <w:keepNext/>
              <w:keepLines/>
              <w:widowControl/>
              <w:autoSpaceDE/>
              <w:autoSpaceDN/>
              <w:adjustRightInd/>
              <w:jc w:val="center"/>
              <w:rPr>
                <w:b/>
                <w:bCs/>
                <w:color w:val="000000"/>
              </w:rPr>
            </w:pPr>
            <w:r w:rsidRPr="00C25C14">
              <w:rPr>
                <w:b/>
                <w:bCs/>
                <w:color w:val="000000"/>
              </w:rPr>
              <w:t>Lowest Price of Supplier</w:t>
            </w:r>
          </w:p>
        </w:tc>
        <w:tc>
          <w:tcPr>
            <w:tcW w:w="266" w:type="dxa"/>
            <w:tcBorders>
              <w:top w:val="single" w:sz="8" w:space="0" w:color="auto"/>
              <w:left w:val="nil"/>
              <w:bottom w:val="single" w:sz="8" w:space="0" w:color="auto"/>
              <w:right w:val="single" w:sz="8" w:space="0" w:color="auto"/>
            </w:tcBorders>
            <w:shd w:val="clear" w:color="auto" w:fill="auto"/>
            <w:noWrap/>
            <w:vAlign w:val="bottom"/>
            <w:hideMark/>
          </w:tcPr>
          <w:p w14:paraId="6BB13186"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62F80929" w14:textId="77777777" w:rsidTr="00C724BE">
        <w:trPr>
          <w:trHeight w:val="440"/>
        </w:trPr>
        <w:tc>
          <w:tcPr>
            <w:tcW w:w="266" w:type="dxa"/>
            <w:tcBorders>
              <w:top w:val="nil"/>
              <w:left w:val="single" w:sz="8" w:space="0" w:color="auto"/>
              <w:bottom w:val="nil"/>
              <w:right w:val="nil"/>
            </w:tcBorders>
            <w:shd w:val="clear" w:color="auto" w:fill="auto"/>
            <w:noWrap/>
            <w:vAlign w:val="bottom"/>
            <w:hideMark/>
          </w:tcPr>
          <w:p w14:paraId="4A60F056"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03F10164" w14:textId="06381E4E"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FCF0D41" w14:textId="243E5463"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553C4BBB" w14:textId="29079DD2"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05322BF7" w14:textId="75BB2F04"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0CD4CD6" w14:textId="563977F1"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F09B118" w14:textId="5385FCA0"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01DBA93C"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187584A0"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608443BC"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4D276BF9" w14:textId="072A0B0A"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C65FFC7" w14:textId="3ECE3091"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70126AB4" w14:textId="137D08FB"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0D946D83" w14:textId="05FB446F"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1239E048" w14:textId="41F598FF"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515DEBA5" w14:textId="31EF3CA0"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1B25E958"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4E4B6867"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6F6DB5AE"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5EDFBFF5" w14:textId="5F3A0693"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8D3FBA3" w14:textId="0B0BD012"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076969B2" w14:textId="549C4B91"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72087E18" w14:textId="5541B3D1"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ADA53E8" w14:textId="67918900"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34D1C86B" w14:textId="72F6225F"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6F02823E"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0F1B8D98"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3DF11634"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64ED9A1C" w14:textId="515D30C5"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A3E207B" w14:textId="51AF6908"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0C70CF46" w14:textId="0BFBB084"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5ECC79EF" w14:textId="48AF667D"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656EA6EE" w14:textId="38BD13DA"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6106E1E2" w14:textId="501B0C8B"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60148ABE"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7583F136"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2F13A948"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2051F751" w14:textId="228551E4"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3898ED5" w14:textId="42CBE10C"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4F3941E4" w14:textId="35A2D4D6"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62A1B0BA" w14:textId="056959B3"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005B4CC" w14:textId="44A83E43"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5F5DF29" w14:textId="7F24DFBC"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647EF4D8"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039054D1"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61C9904A"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0CB14179" w14:textId="7E17CED7"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7298997" w14:textId="2FA5937C"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5F901608" w14:textId="46E739EA"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35AA293E" w14:textId="6574A4E8"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5BFCFE6C" w14:textId="6B4F8A2C"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13B95957" w14:textId="6FA36B12"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48A52BDB"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44F93EB6"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53128AC0"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0961C3C4" w14:textId="1CD286FE"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69FEBC8" w14:textId="768664B6"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40250643" w14:textId="2FAC0D49"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676E116D" w14:textId="23D14E0D"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49F81AE" w14:textId="74F63161"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63EA615" w14:textId="7267034A"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5C766478"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263D4EE5"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28E7B445"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5BFB80F9" w14:textId="5BDD554F"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5A8FBC5A" w14:textId="7AF6746C"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5739B81D" w14:textId="5CCE8CA5"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5C590E32" w14:textId="13CDE4C8"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5F826FF3" w14:textId="0D586957"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A0DAAAD" w14:textId="53916EE7"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695969D0"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3FFF46C5"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1908641C"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71F5537F" w14:textId="1671F21F"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6B911A5B" w14:textId="2AA4FC5B"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38AD1290" w14:textId="784C855B"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62AE01BE" w14:textId="627331DB"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885B149" w14:textId="12A51715"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BEF2080" w14:textId="551E9E20"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2FBEA651"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77CBAFEC"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3F4AC923"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331307D3" w14:textId="430A97C0"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C2007C2" w14:textId="5C5BA660"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73D6A312" w14:textId="15C25C4D"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0C3AE4A6" w14:textId="104DDA74"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A627890" w14:textId="53EB98B3"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3EB8185C" w14:textId="2C62588B"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378B586A"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7AA4C914"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5C28F3A2"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2A177448" w14:textId="55BCDEFE"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60D4AD3F" w14:textId="20E03E25"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5A07217A" w14:textId="7571914D"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5E9C2C1F" w14:textId="08746C76"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8558332" w14:textId="46E98A88"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396D826" w14:textId="086C89A7"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7CEF127A"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5F61E8AF"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1EC300B9"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39FF87CF" w14:textId="4D8D68F2"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1B09D86F" w14:textId="4B77CA01"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63C0D1B2" w14:textId="303063F7"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77397C6B" w14:textId="4A22B2C1"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366FE24" w14:textId="6E799A55"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5130B339" w14:textId="49C3900A"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54586D32"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3086F165"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4A287364"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0CDF99CC" w14:textId="58BB6D39"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91BF21C" w14:textId="64A994B9"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4024158E" w14:textId="68501E5C"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435BCC51" w14:textId="5858F8DD"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33BA1033" w14:textId="28E445DD"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40C4707" w14:textId="44FFEAEC"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660D8A7E"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0CFE09BD"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43E77F91"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2315A948" w14:textId="26127623"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110BED33" w14:textId="031DB76D"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1197804B" w14:textId="22C538B8"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7C216AA6" w14:textId="0CF80ADB"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905655B" w14:textId="7F8E30EE"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F0E220F" w14:textId="295A12C1"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6C3D76A8"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6C9A5D43"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08C85122"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07DD450B" w14:textId="369F07A8"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EAE799B" w14:textId="279FC03F"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167C1B82" w14:textId="6A0A4902"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323808CB" w14:textId="6961DA8D"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AB620ED" w14:textId="2FE46E22"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819DB06" w14:textId="2D4AF6A2"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02F42E21"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0F8EBCE0"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78F8B2CC"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77F03CC2" w14:textId="4E616E14"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5657DA08" w14:textId="2684C40A"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035452FB" w14:textId="49FA686C"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55001424" w14:textId="2FBEE8EC"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F118251" w14:textId="1D1E5566"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5DC15B14" w14:textId="0DF5788C"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5DCFFFA1"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5867CB26"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71F09ABD"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366D3BCC" w14:textId="0F32A859"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179BD3C2" w14:textId="736F4839"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50177A5D" w14:textId="4843FDE0"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2FBE272A" w14:textId="756F4200"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CF146E2" w14:textId="52E6A5B0"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3F3910A9" w14:textId="0AC8C2D2"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0B4104F4"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1E3A561F"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20E947B9"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307152A9" w14:textId="2CD5EAED"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67CD7B1" w14:textId="1AFE6784"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7E6B60E9" w14:textId="78561F5F"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7871D303" w14:textId="2B806958"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1B90A68" w14:textId="7ECD77F8"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2D11C68" w14:textId="257118B4"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5B3BBFCF"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29CE92F9"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3F06A8A5"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7D80A36B" w14:textId="0FF2F242"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4B0A4C23" w14:textId="7956BF39" w:rsidR="00A005B7" w:rsidRPr="00A824FC" w:rsidRDefault="00A005B7" w:rsidP="000B616F">
            <w:pPr>
              <w:keepNext/>
              <w:keepLines/>
              <w:widowControl/>
              <w:autoSpaceDE/>
              <w:autoSpaceDN/>
              <w:adjustRightInd/>
              <w:jc w:val="right"/>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6517B5C0" w14:textId="2D1E2AA5" w:rsidR="00A005B7" w:rsidRPr="00A824FC" w:rsidRDefault="00A005B7" w:rsidP="000B616F">
            <w:pPr>
              <w:keepNext/>
              <w:keepLines/>
              <w:widowControl/>
              <w:autoSpaceDE/>
              <w:autoSpaceDN/>
              <w:adjustRightInd/>
              <w:jc w:val="right"/>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59A47B30" w14:textId="2CED77EB"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1616C49F" w14:textId="5F7880AE" w:rsidR="00A005B7" w:rsidRPr="00A824FC" w:rsidRDefault="00A005B7" w:rsidP="000B616F">
            <w:pPr>
              <w:keepNext/>
              <w:keepLines/>
              <w:widowControl/>
              <w:autoSpaceDE/>
              <w:autoSpaceDN/>
              <w:adjustRightInd/>
              <w:jc w:val="right"/>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281B59F" w14:textId="25A253E0" w:rsidR="00A005B7" w:rsidRPr="00A824FC" w:rsidRDefault="00A005B7" w:rsidP="000B616F">
            <w:pPr>
              <w:keepNext/>
              <w:keepLines/>
              <w:widowControl/>
              <w:autoSpaceDE/>
              <w:autoSpaceDN/>
              <w:adjustRightInd/>
              <w:jc w:val="right"/>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45214E88"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5D695B75"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74E92396"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2F07161F" w14:textId="77777777"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3DE87B01" w14:textId="77777777" w:rsidR="00A005B7" w:rsidRPr="00A824FC" w:rsidRDefault="00A005B7" w:rsidP="000B616F">
            <w:pPr>
              <w:keepNext/>
              <w:keepLines/>
              <w:widowControl/>
              <w:autoSpaceDE/>
              <w:autoSpaceDN/>
              <w:adjustRightInd/>
              <w:rPr>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1AC3A3BE" w14:textId="77777777" w:rsidR="00A005B7" w:rsidRPr="00A824FC" w:rsidRDefault="00A005B7" w:rsidP="000B616F">
            <w:pPr>
              <w:keepNext/>
              <w:keepLines/>
              <w:widowControl/>
              <w:autoSpaceDE/>
              <w:autoSpaceDN/>
              <w:adjustRightInd/>
              <w:rPr>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5E6D6359" w14:textId="77777777"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2589376F" w14:textId="77777777" w:rsidR="00A005B7" w:rsidRPr="00A824FC" w:rsidRDefault="00A005B7" w:rsidP="000B616F">
            <w:pPr>
              <w:keepNext/>
              <w:keepLines/>
              <w:widowControl/>
              <w:autoSpaceDE/>
              <w:autoSpaceDN/>
              <w:adjustRightInd/>
              <w:rPr>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1C205898" w14:textId="77777777" w:rsidR="00A005B7" w:rsidRPr="00A824FC" w:rsidRDefault="00A005B7" w:rsidP="000B616F">
            <w:pPr>
              <w:keepNext/>
              <w:keepLines/>
              <w:widowControl/>
              <w:autoSpaceDE/>
              <w:autoSpaceDN/>
              <w:adjustRightInd/>
              <w:rPr>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1FF38CB2"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57916D6C" w14:textId="77777777" w:rsidTr="00C724BE">
        <w:trPr>
          <w:trHeight w:val="280"/>
        </w:trPr>
        <w:tc>
          <w:tcPr>
            <w:tcW w:w="266" w:type="dxa"/>
            <w:tcBorders>
              <w:top w:val="nil"/>
              <w:left w:val="single" w:sz="8" w:space="0" w:color="auto"/>
              <w:bottom w:val="nil"/>
              <w:right w:val="nil"/>
            </w:tcBorders>
            <w:shd w:val="clear" w:color="auto" w:fill="auto"/>
            <w:noWrap/>
            <w:vAlign w:val="bottom"/>
            <w:hideMark/>
          </w:tcPr>
          <w:p w14:paraId="2DE68CB1"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nil"/>
              <w:right w:val="nil"/>
            </w:tcBorders>
            <w:shd w:val="clear" w:color="auto" w:fill="404040" w:themeFill="text1" w:themeFillTint="BF"/>
            <w:noWrap/>
            <w:vAlign w:val="bottom"/>
          </w:tcPr>
          <w:p w14:paraId="00B03F71" w14:textId="0D005FF1" w:rsidR="00A005B7" w:rsidRPr="00A824FC" w:rsidRDefault="00A005B7" w:rsidP="000B616F">
            <w:pPr>
              <w:keepNext/>
              <w:keepLines/>
              <w:widowControl/>
              <w:autoSpaceDE/>
              <w:autoSpaceDN/>
              <w:adjustRightInd/>
              <w:rPr>
                <w:b/>
                <w:bCs/>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047E7D10" w14:textId="532351A7" w:rsidR="00A005B7" w:rsidRPr="00A824FC" w:rsidRDefault="00A005B7" w:rsidP="000B616F">
            <w:pPr>
              <w:keepNext/>
              <w:keepLines/>
              <w:widowControl/>
              <w:autoSpaceDE/>
              <w:autoSpaceDN/>
              <w:adjustRightInd/>
              <w:jc w:val="right"/>
              <w:rPr>
                <w:b/>
                <w:bCs/>
                <w:color w:val="000000" w:themeColor="text1"/>
                <w:sz w:val="20"/>
                <w:szCs w:val="20"/>
              </w:rPr>
            </w:pPr>
          </w:p>
        </w:tc>
        <w:tc>
          <w:tcPr>
            <w:tcW w:w="1130" w:type="dxa"/>
            <w:tcBorders>
              <w:top w:val="nil"/>
              <w:left w:val="nil"/>
              <w:bottom w:val="nil"/>
              <w:right w:val="nil"/>
            </w:tcBorders>
            <w:shd w:val="clear" w:color="auto" w:fill="404040" w:themeFill="text1" w:themeFillTint="BF"/>
            <w:noWrap/>
            <w:vAlign w:val="bottom"/>
          </w:tcPr>
          <w:p w14:paraId="03908C55" w14:textId="70BE6486" w:rsidR="00A005B7" w:rsidRPr="00A824FC" w:rsidRDefault="00A005B7" w:rsidP="000B616F">
            <w:pPr>
              <w:keepNext/>
              <w:keepLines/>
              <w:widowControl/>
              <w:autoSpaceDE/>
              <w:autoSpaceDN/>
              <w:adjustRightInd/>
              <w:jc w:val="right"/>
              <w:rPr>
                <w:b/>
                <w:bCs/>
                <w:color w:val="000000" w:themeColor="text1"/>
                <w:sz w:val="20"/>
                <w:szCs w:val="20"/>
              </w:rPr>
            </w:pPr>
          </w:p>
        </w:tc>
        <w:tc>
          <w:tcPr>
            <w:tcW w:w="1323" w:type="dxa"/>
            <w:tcBorders>
              <w:top w:val="nil"/>
              <w:left w:val="nil"/>
              <w:bottom w:val="nil"/>
              <w:right w:val="nil"/>
            </w:tcBorders>
            <w:shd w:val="clear" w:color="auto" w:fill="404040" w:themeFill="text1" w:themeFillTint="BF"/>
            <w:noWrap/>
            <w:vAlign w:val="bottom"/>
          </w:tcPr>
          <w:p w14:paraId="5B645CB8" w14:textId="20657ECE" w:rsidR="00A005B7" w:rsidRPr="00A824FC" w:rsidRDefault="00A005B7" w:rsidP="000B616F">
            <w:pPr>
              <w:keepNext/>
              <w:keepLines/>
              <w:widowControl/>
              <w:autoSpaceDE/>
              <w:autoSpaceDN/>
              <w:adjustRightInd/>
              <w:jc w:val="right"/>
              <w:rPr>
                <w:b/>
                <w:bCs/>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3445F67B" w14:textId="3F043B58" w:rsidR="00A005B7" w:rsidRPr="00A824FC" w:rsidRDefault="00A005B7" w:rsidP="000B616F">
            <w:pPr>
              <w:keepNext/>
              <w:keepLines/>
              <w:widowControl/>
              <w:autoSpaceDE/>
              <w:autoSpaceDN/>
              <w:adjustRightInd/>
              <w:jc w:val="right"/>
              <w:rPr>
                <w:b/>
                <w:bCs/>
                <w:color w:val="000000" w:themeColor="text1"/>
                <w:sz w:val="20"/>
                <w:szCs w:val="20"/>
              </w:rPr>
            </w:pPr>
          </w:p>
        </w:tc>
        <w:tc>
          <w:tcPr>
            <w:tcW w:w="1300" w:type="dxa"/>
            <w:tcBorders>
              <w:top w:val="nil"/>
              <w:left w:val="nil"/>
              <w:bottom w:val="nil"/>
              <w:right w:val="nil"/>
            </w:tcBorders>
            <w:shd w:val="clear" w:color="auto" w:fill="404040" w:themeFill="text1" w:themeFillTint="BF"/>
            <w:noWrap/>
            <w:vAlign w:val="bottom"/>
          </w:tcPr>
          <w:p w14:paraId="7B0DA9D1" w14:textId="76448DE3" w:rsidR="00A005B7" w:rsidRPr="00A824FC" w:rsidRDefault="00A005B7" w:rsidP="000B616F">
            <w:pPr>
              <w:keepNext/>
              <w:keepLines/>
              <w:widowControl/>
              <w:autoSpaceDE/>
              <w:autoSpaceDN/>
              <w:adjustRightInd/>
              <w:jc w:val="right"/>
              <w:rPr>
                <w:b/>
                <w:bCs/>
                <w:color w:val="000000" w:themeColor="text1"/>
                <w:sz w:val="20"/>
                <w:szCs w:val="20"/>
              </w:rPr>
            </w:pPr>
          </w:p>
        </w:tc>
        <w:tc>
          <w:tcPr>
            <w:tcW w:w="266" w:type="dxa"/>
            <w:tcBorders>
              <w:top w:val="nil"/>
              <w:left w:val="nil"/>
              <w:bottom w:val="nil"/>
              <w:right w:val="single" w:sz="8" w:space="0" w:color="auto"/>
            </w:tcBorders>
            <w:shd w:val="clear" w:color="auto" w:fill="auto"/>
            <w:noWrap/>
            <w:vAlign w:val="bottom"/>
            <w:hideMark/>
          </w:tcPr>
          <w:p w14:paraId="5638AEA9"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r w:rsidR="00A005B7" w:rsidRPr="00C25C14" w14:paraId="217E1D65" w14:textId="77777777" w:rsidTr="00C724BE">
        <w:trPr>
          <w:trHeight w:val="300"/>
        </w:trPr>
        <w:tc>
          <w:tcPr>
            <w:tcW w:w="266" w:type="dxa"/>
            <w:tcBorders>
              <w:top w:val="nil"/>
              <w:left w:val="single" w:sz="8" w:space="0" w:color="auto"/>
              <w:bottom w:val="single" w:sz="8" w:space="0" w:color="auto"/>
              <w:right w:val="nil"/>
            </w:tcBorders>
            <w:shd w:val="clear" w:color="auto" w:fill="auto"/>
            <w:noWrap/>
            <w:vAlign w:val="bottom"/>
            <w:hideMark/>
          </w:tcPr>
          <w:p w14:paraId="011FB4E2" w14:textId="77777777" w:rsidR="00A005B7" w:rsidRPr="00C25C14" w:rsidRDefault="00A005B7" w:rsidP="000B616F">
            <w:pPr>
              <w:keepNext/>
              <w:keepLines/>
              <w:widowControl/>
              <w:autoSpaceDE/>
              <w:autoSpaceDN/>
              <w:adjustRightInd/>
              <w:rPr>
                <w:color w:val="000000"/>
                <w:sz w:val="20"/>
                <w:szCs w:val="20"/>
              </w:rPr>
            </w:pPr>
            <w:r w:rsidRPr="00C25C14">
              <w:rPr>
                <w:color w:val="000000"/>
                <w:sz w:val="20"/>
                <w:szCs w:val="20"/>
              </w:rPr>
              <w:t> </w:t>
            </w:r>
          </w:p>
        </w:tc>
        <w:tc>
          <w:tcPr>
            <w:tcW w:w="3349" w:type="dxa"/>
            <w:tcBorders>
              <w:top w:val="nil"/>
              <w:left w:val="nil"/>
              <w:bottom w:val="single" w:sz="8" w:space="0" w:color="auto"/>
              <w:right w:val="nil"/>
            </w:tcBorders>
            <w:shd w:val="clear" w:color="auto" w:fill="404040" w:themeFill="text1" w:themeFillTint="BF"/>
            <w:noWrap/>
            <w:vAlign w:val="bottom"/>
            <w:hideMark/>
          </w:tcPr>
          <w:p w14:paraId="386B041D" w14:textId="77777777" w:rsidR="00A005B7" w:rsidRPr="00A824FC" w:rsidRDefault="00A005B7" w:rsidP="000B616F">
            <w:pPr>
              <w:keepNext/>
              <w:keepLines/>
              <w:widowControl/>
              <w:autoSpaceDE/>
              <w:autoSpaceDN/>
              <w:adjustRightInd/>
              <w:rPr>
                <w:color w:val="000000" w:themeColor="text1"/>
                <w:sz w:val="20"/>
                <w:szCs w:val="20"/>
              </w:rPr>
            </w:pPr>
            <w:r w:rsidRPr="00A824FC">
              <w:rPr>
                <w:color w:val="000000" w:themeColor="text1"/>
                <w:sz w:val="20"/>
                <w:szCs w:val="20"/>
              </w:rPr>
              <w:t> </w:t>
            </w:r>
          </w:p>
        </w:tc>
        <w:tc>
          <w:tcPr>
            <w:tcW w:w="1300" w:type="dxa"/>
            <w:tcBorders>
              <w:top w:val="nil"/>
              <w:left w:val="nil"/>
              <w:bottom w:val="single" w:sz="8" w:space="0" w:color="auto"/>
              <w:right w:val="nil"/>
            </w:tcBorders>
            <w:shd w:val="clear" w:color="auto" w:fill="404040" w:themeFill="text1" w:themeFillTint="BF"/>
            <w:noWrap/>
            <w:vAlign w:val="bottom"/>
            <w:hideMark/>
          </w:tcPr>
          <w:p w14:paraId="7C89A759" w14:textId="77777777" w:rsidR="00A005B7" w:rsidRPr="00A824FC" w:rsidRDefault="00A005B7" w:rsidP="000B616F">
            <w:pPr>
              <w:keepNext/>
              <w:keepLines/>
              <w:widowControl/>
              <w:autoSpaceDE/>
              <w:autoSpaceDN/>
              <w:adjustRightInd/>
              <w:rPr>
                <w:color w:val="000000" w:themeColor="text1"/>
                <w:sz w:val="20"/>
                <w:szCs w:val="20"/>
              </w:rPr>
            </w:pPr>
            <w:r w:rsidRPr="00A824FC">
              <w:rPr>
                <w:color w:val="000000" w:themeColor="text1"/>
                <w:sz w:val="20"/>
                <w:szCs w:val="20"/>
              </w:rPr>
              <w:t> </w:t>
            </w:r>
          </w:p>
        </w:tc>
        <w:tc>
          <w:tcPr>
            <w:tcW w:w="1130" w:type="dxa"/>
            <w:tcBorders>
              <w:top w:val="nil"/>
              <w:left w:val="nil"/>
              <w:bottom w:val="single" w:sz="8" w:space="0" w:color="auto"/>
              <w:right w:val="nil"/>
            </w:tcBorders>
            <w:shd w:val="clear" w:color="auto" w:fill="404040" w:themeFill="text1" w:themeFillTint="BF"/>
            <w:noWrap/>
            <w:vAlign w:val="bottom"/>
            <w:hideMark/>
          </w:tcPr>
          <w:p w14:paraId="47E5EC54" w14:textId="77777777" w:rsidR="00A005B7" w:rsidRPr="00A824FC" w:rsidRDefault="00A005B7" w:rsidP="000B616F">
            <w:pPr>
              <w:keepNext/>
              <w:keepLines/>
              <w:widowControl/>
              <w:autoSpaceDE/>
              <w:autoSpaceDN/>
              <w:adjustRightInd/>
              <w:rPr>
                <w:color w:val="000000" w:themeColor="text1"/>
                <w:sz w:val="20"/>
                <w:szCs w:val="20"/>
              </w:rPr>
            </w:pPr>
            <w:r w:rsidRPr="00A824FC">
              <w:rPr>
                <w:color w:val="000000" w:themeColor="text1"/>
                <w:sz w:val="20"/>
                <w:szCs w:val="20"/>
              </w:rPr>
              <w:t> </w:t>
            </w:r>
          </w:p>
        </w:tc>
        <w:tc>
          <w:tcPr>
            <w:tcW w:w="1323" w:type="dxa"/>
            <w:tcBorders>
              <w:top w:val="nil"/>
              <w:left w:val="nil"/>
              <w:bottom w:val="single" w:sz="8" w:space="0" w:color="auto"/>
              <w:right w:val="nil"/>
            </w:tcBorders>
            <w:shd w:val="clear" w:color="auto" w:fill="404040" w:themeFill="text1" w:themeFillTint="BF"/>
            <w:noWrap/>
            <w:vAlign w:val="bottom"/>
            <w:hideMark/>
          </w:tcPr>
          <w:p w14:paraId="5AA83B0A" w14:textId="77777777" w:rsidR="00A005B7" w:rsidRPr="00A824FC" w:rsidRDefault="00A005B7" w:rsidP="000B616F">
            <w:pPr>
              <w:keepNext/>
              <w:keepLines/>
              <w:widowControl/>
              <w:autoSpaceDE/>
              <w:autoSpaceDN/>
              <w:adjustRightInd/>
              <w:rPr>
                <w:color w:val="000000" w:themeColor="text1"/>
                <w:sz w:val="20"/>
                <w:szCs w:val="20"/>
              </w:rPr>
            </w:pPr>
            <w:r w:rsidRPr="00A824FC">
              <w:rPr>
                <w:color w:val="000000" w:themeColor="text1"/>
                <w:sz w:val="20"/>
                <w:szCs w:val="20"/>
              </w:rPr>
              <w:t> </w:t>
            </w:r>
          </w:p>
        </w:tc>
        <w:tc>
          <w:tcPr>
            <w:tcW w:w="1300" w:type="dxa"/>
            <w:tcBorders>
              <w:top w:val="nil"/>
              <w:left w:val="nil"/>
              <w:bottom w:val="single" w:sz="8" w:space="0" w:color="auto"/>
              <w:right w:val="nil"/>
            </w:tcBorders>
            <w:shd w:val="clear" w:color="auto" w:fill="404040" w:themeFill="text1" w:themeFillTint="BF"/>
            <w:noWrap/>
            <w:vAlign w:val="bottom"/>
            <w:hideMark/>
          </w:tcPr>
          <w:p w14:paraId="02EDD763" w14:textId="77777777" w:rsidR="00A005B7" w:rsidRPr="00A824FC" w:rsidRDefault="00A005B7" w:rsidP="000B616F">
            <w:pPr>
              <w:keepNext/>
              <w:keepLines/>
              <w:widowControl/>
              <w:autoSpaceDE/>
              <w:autoSpaceDN/>
              <w:adjustRightInd/>
              <w:rPr>
                <w:color w:val="000000" w:themeColor="text1"/>
                <w:sz w:val="20"/>
                <w:szCs w:val="20"/>
              </w:rPr>
            </w:pPr>
            <w:r w:rsidRPr="00A824FC">
              <w:rPr>
                <w:color w:val="000000" w:themeColor="text1"/>
                <w:sz w:val="20"/>
                <w:szCs w:val="20"/>
              </w:rPr>
              <w:t> </w:t>
            </w:r>
          </w:p>
        </w:tc>
        <w:tc>
          <w:tcPr>
            <w:tcW w:w="1300" w:type="dxa"/>
            <w:tcBorders>
              <w:top w:val="nil"/>
              <w:left w:val="nil"/>
              <w:bottom w:val="single" w:sz="8" w:space="0" w:color="auto"/>
              <w:right w:val="nil"/>
            </w:tcBorders>
            <w:shd w:val="clear" w:color="auto" w:fill="404040" w:themeFill="text1" w:themeFillTint="BF"/>
            <w:noWrap/>
            <w:vAlign w:val="bottom"/>
            <w:hideMark/>
          </w:tcPr>
          <w:p w14:paraId="796CA1E4" w14:textId="77777777" w:rsidR="00A005B7" w:rsidRPr="00A824FC" w:rsidRDefault="00A005B7" w:rsidP="000B616F">
            <w:pPr>
              <w:keepNext/>
              <w:keepLines/>
              <w:widowControl/>
              <w:autoSpaceDE/>
              <w:autoSpaceDN/>
              <w:adjustRightInd/>
              <w:rPr>
                <w:color w:val="000000" w:themeColor="text1"/>
                <w:sz w:val="20"/>
                <w:szCs w:val="20"/>
              </w:rPr>
            </w:pPr>
            <w:r w:rsidRPr="00A824FC">
              <w:rPr>
                <w:color w:val="000000" w:themeColor="text1"/>
                <w:sz w:val="20"/>
                <w:szCs w:val="20"/>
              </w:rPr>
              <w:t> </w:t>
            </w:r>
          </w:p>
        </w:tc>
        <w:tc>
          <w:tcPr>
            <w:tcW w:w="266" w:type="dxa"/>
            <w:tcBorders>
              <w:top w:val="nil"/>
              <w:left w:val="nil"/>
              <w:bottom w:val="single" w:sz="8" w:space="0" w:color="auto"/>
              <w:right w:val="single" w:sz="8" w:space="0" w:color="auto"/>
            </w:tcBorders>
            <w:shd w:val="clear" w:color="auto" w:fill="auto"/>
            <w:noWrap/>
            <w:vAlign w:val="bottom"/>
            <w:hideMark/>
          </w:tcPr>
          <w:p w14:paraId="578B991F" w14:textId="77777777" w:rsidR="00A005B7" w:rsidRPr="00C25C14" w:rsidRDefault="00A005B7" w:rsidP="000B616F">
            <w:pPr>
              <w:keepNext/>
              <w:keepLines/>
              <w:widowControl/>
              <w:autoSpaceDE/>
              <w:autoSpaceDN/>
              <w:adjustRightInd/>
              <w:rPr>
                <w:rFonts w:ascii="Calibri" w:hAnsi="Calibri"/>
                <w:color w:val="000000"/>
                <w:sz w:val="22"/>
                <w:szCs w:val="22"/>
              </w:rPr>
            </w:pPr>
            <w:r w:rsidRPr="00C25C14">
              <w:rPr>
                <w:rFonts w:ascii="Calibri" w:hAnsi="Calibri"/>
                <w:color w:val="000000"/>
                <w:sz w:val="22"/>
                <w:szCs w:val="22"/>
              </w:rPr>
              <w:t> </w:t>
            </w:r>
          </w:p>
        </w:tc>
      </w:tr>
    </w:tbl>
    <w:p w14:paraId="7E3A6B14" w14:textId="77777777" w:rsidR="00A005B7" w:rsidRDefault="00A005B7" w:rsidP="00A005B7">
      <w:pPr>
        <w:keepNext/>
        <w:keepLines/>
        <w:spacing w:line="480" w:lineRule="auto"/>
        <w:ind w:left="720" w:hanging="720"/>
        <w:rPr>
          <w:b/>
        </w:rPr>
      </w:pPr>
      <w:r>
        <w:rPr>
          <w:b/>
        </w:rPr>
        <w:t>END CONFIDENTIAL&gt;&gt;&gt;</w:t>
      </w:r>
    </w:p>
    <w:p w14:paraId="222AD1BB" w14:textId="77777777" w:rsidR="00A005B7" w:rsidRPr="00F0533E" w:rsidRDefault="00A005B7" w:rsidP="00A005B7">
      <w:pPr>
        <w:spacing w:line="480" w:lineRule="auto"/>
        <w:ind w:left="720" w:hanging="720"/>
        <w:rPr>
          <w:b/>
        </w:rPr>
      </w:pPr>
      <w:r w:rsidRPr="00F0533E">
        <w:rPr>
          <w:b/>
        </w:rPr>
        <w:t>Q:</w:t>
      </w:r>
      <w:r w:rsidRPr="00F0533E">
        <w:rPr>
          <w:b/>
        </w:rPr>
        <w:tab/>
        <w:t>Is there other data of interest that CL&amp;P provided?</w:t>
      </w:r>
    </w:p>
    <w:p w14:paraId="5FBCC953" w14:textId="77777777" w:rsidR="00A005B7" w:rsidRDefault="00A005B7" w:rsidP="00A005B7">
      <w:pPr>
        <w:spacing w:line="480" w:lineRule="auto"/>
        <w:ind w:left="720" w:hanging="720"/>
      </w:pPr>
      <w:r>
        <w:t>A:</w:t>
      </w:r>
      <w:r>
        <w:tab/>
        <w:t xml:space="preserve">Yes.  CL&amp;P does not track customer </w:t>
      </w:r>
      <w:r w:rsidR="00C37574">
        <w:t xml:space="preserve">migration </w:t>
      </w:r>
      <w:r>
        <w:t>by</w:t>
      </w:r>
      <w:r w:rsidR="00A93FF2">
        <w:t xml:space="preserve"> Supplier</w:t>
      </w:r>
      <w:r>
        <w:t xml:space="preserve">, but </w:t>
      </w:r>
      <w:r w:rsidR="001779DA">
        <w:t xml:space="preserve">it </w:t>
      </w:r>
      <w:r>
        <w:t xml:space="preserve">did provide the </w:t>
      </w:r>
      <w:r w:rsidR="001779DA">
        <w:t xml:space="preserve">aggregate </w:t>
      </w:r>
      <w:r w:rsidR="00C37574">
        <w:t xml:space="preserve">migration </w:t>
      </w:r>
      <w:r>
        <w:t>(usually the percent of customers that change their</w:t>
      </w:r>
      <w:r w:rsidR="00A93FF2">
        <w:t xml:space="preserve"> Supplier</w:t>
      </w:r>
      <w:r>
        <w:t xml:space="preserve"> in a given month) for residential customers for whom it provides bills.  </w:t>
      </w:r>
      <w:r w:rsidR="0055710F">
        <w:t>Table 14</w:t>
      </w:r>
      <w:r>
        <w:t xml:space="preserve"> below provides information on the number of times residential customers for whom CL&amp;P renders bills switched</w:t>
      </w:r>
      <w:r w:rsidR="00A93FF2">
        <w:t xml:space="preserve"> Supplier</w:t>
      </w:r>
      <w:r>
        <w:t xml:space="preserve">s during 2013. </w:t>
      </w:r>
    </w:p>
    <w:p w14:paraId="68845F8C" w14:textId="77777777" w:rsidR="00A005B7" w:rsidRDefault="00A005B7" w:rsidP="000226D5">
      <w:pPr>
        <w:ind w:left="720" w:hanging="720"/>
        <w:jc w:val="center"/>
        <w:rPr>
          <w:b/>
        </w:rPr>
      </w:pPr>
      <w:r>
        <w:rPr>
          <w:b/>
        </w:rPr>
        <w:t xml:space="preserve">Table </w:t>
      </w:r>
      <w:r w:rsidR="000226D5">
        <w:rPr>
          <w:b/>
        </w:rPr>
        <w:t>1</w:t>
      </w:r>
      <w:r w:rsidR="0055710F">
        <w:rPr>
          <w:b/>
        </w:rPr>
        <w:t>4</w:t>
      </w:r>
      <w:r>
        <w:rPr>
          <w:rStyle w:val="FootnoteReference"/>
          <w:b/>
        </w:rPr>
        <w:footnoteReference w:id="51"/>
      </w:r>
    </w:p>
    <w:p w14:paraId="39527B5D" w14:textId="77777777" w:rsidR="00A005B7" w:rsidRDefault="00A005B7" w:rsidP="000226D5">
      <w:pPr>
        <w:ind w:left="720" w:hanging="720"/>
        <w:jc w:val="center"/>
        <w:rPr>
          <w:b/>
        </w:rPr>
      </w:pPr>
      <w:r>
        <w:rPr>
          <w:b/>
        </w:rPr>
        <w:t xml:space="preserve">CL&amp;P and Supplier Customer </w:t>
      </w:r>
      <w:r w:rsidR="00C37574">
        <w:rPr>
          <w:b/>
        </w:rPr>
        <w:t xml:space="preserve">Migration </w:t>
      </w:r>
      <w:r w:rsidR="000226D5">
        <w:rPr>
          <w:b/>
        </w:rPr>
        <w:t xml:space="preserve">During </w:t>
      </w:r>
      <w:r>
        <w:rPr>
          <w:b/>
        </w:rPr>
        <w:t>2013</w:t>
      </w:r>
    </w:p>
    <w:p w14:paraId="2C538224" w14:textId="77777777" w:rsidR="000226D5" w:rsidRPr="006665CB" w:rsidRDefault="000226D5" w:rsidP="000226D5">
      <w:pPr>
        <w:ind w:left="720" w:hanging="720"/>
        <w:jc w:val="center"/>
        <w:rPr>
          <w:b/>
        </w:rPr>
      </w:pPr>
    </w:p>
    <w:tbl>
      <w:tblPr>
        <w:tblW w:w="5297"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07"/>
      </w:tblGrid>
      <w:tr w:rsidR="00A005B7" w14:paraId="78C76079" w14:textId="77777777" w:rsidTr="000B616F">
        <w:tc>
          <w:tcPr>
            <w:tcW w:w="2790" w:type="dxa"/>
            <w:shd w:val="clear" w:color="auto" w:fill="auto"/>
          </w:tcPr>
          <w:p w14:paraId="1AB47360" w14:textId="77777777" w:rsidR="00A005B7" w:rsidRPr="0006724A" w:rsidRDefault="00A005B7" w:rsidP="000B616F">
            <w:pPr>
              <w:spacing w:before="120" w:after="120"/>
              <w:jc w:val="center"/>
              <w:rPr>
                <w:b/>
              </w:rPr>
            </w:pPr>
            <w:r w:rsidRPr="0006724A">
              <w:rPr>
                <w:b/>
              </w:rPr>
              <w:t>Number of Times Customer Switched</w:t>
            </w:r>
          </w:p>
        </w:tc>
        <w:tc>
          <w:tcPr>
            <w:tcW w:w="2507" w:type="dxa"/>
            <w:shd w:val="clear" w:color="auto" w:fill="auto"/>
          </w:tcPr>
          <w:p w14:paraId="17BAEA9E" w14:textId="77777777" w:rsidR="00A005B7" w:rsidRPr="0006724A" w:rsidRDefault="00A005B7" w:rsidP="000B616F">
            <w:pPr>
              <w:spacing w:before="120" w:after="120"/>
              <w:jc w:val="center"/>
              <w:rPr>
                <w:b/>
              </w:rPr>
            </w:pPr>
            <w:r w:rsidRPr="0006724A">
              <w:rPr>
                <w:b/>
              </w:rPr>
              <w:t>Number of Customers</w:t>
            </w:r>
          </w:p>
        </w:tc>
      </w:tr>
      <w:tr w:rsidR="00A005B7" w14:paraId="0C6CE33B" w14:textId="77777777" w:rsidTr="000B616F">
        <w:tc>
          <w:tcPr>
            <w:tcW w:w="2790" w:type="dxa"/>
            <w:shd w:val="clear" w:color="auto" w:fill="auto"/>
          </w:tcPr>
          <w:p w14:paraId="13CD0130" w14:textId="77777777" w:rsidR="00A005B7" w:rsidRDefault="00A005B7" w:rsidP="000B616F">
            <w:pPr>
              <w:spacing w:before="120"/>
              <w:jc w:val="center"/>
            </w:pPr>
            <w:r>
              <w:t>0</w:t>
            </w:r>
          </w:p>
        </w:tc>
        <w:tc>
          <w:tcPr>
            <w:tcW w:w="2507" w:type="dxa"/>
            <w:shd w:val="clear" w:color="auto" w:fill="auto"/>
          </w:tcPr>
          <w:p w14:paraId="3AB35266" w14:textId="77777777" w:rsidR="00A005B7" w:rsidRDefault="00A005B7" w:rsidP="000B616F">
            <w:pPr>
              <w:spacing w:before="120"/>
              <w:ind w:right="720"/>
              <w:jc w:val="right"/>
            </w:pPr>
            <w:r>
              <w:t>1,125,861</w:t>
            </w:r>
          </w:p>
        </w:tc>
      </w:tr>
      <w:tr w:rsidR="00A005B7" w14:paraId="00AB59EC" w14:textId="77777777" w:rsidTr="000B616F">
        <w:tc>
          <w:tcPr>
            <w:tcW w:w="2790" w:type="dxa"/>
            <w:shd w:val="clear" w:color="auto" w:fill="auto"/>
          </w:tcPr>
          <w:p w14:paraId="48560F8C" w14:textId="77777777" w:rsidR="00A005B7" w:rsidRDefault="00A005B7" w:rsidP="000B616F">
            <w:pPr>
              <w:spacing w:before="120"/>
              <w:jc w:val="center"/>
            </w:pPr>
            <w:r>
              <w:t>1</w:t>
            </w:r>
          </w:p>
        </w:tc>
        <w:tc>
          <w:tcPr>
            <w:tcW w:w="2507" w:type="dxa"/>
            <w:shd w:val="clear" w:color="auto" w:fill="auto"/>
          </w:tcPr>
          <w:p w14:paraId="289F41C8" w14:textId="77777777" w:rsidR="00A005B7" w:rsidRDefault="00A005B7" w:rsidP="000B616F">
            <w:pPr>
              <w:spacing w:before="120"/>
              <w:ind w:right="720"/>
              <w:jc w:val="right"/>
            </w:pPr>
            <w:r>
              <w:t>165,659</w:t>
            </w:r>
          </w:p>
        </w:tc>
      </w:tr>
      <w:tr w:rsidR="00A005B7" w14:paraId="6C747225" w14:textId="77777777" w:rsidTr="000B616F">
        <w:tc>
          <w:tcPr>
            <w:tcW w:w="2790" w:type="dxa"/>
            <w:shd w:val="clear" w:color="auto" w:fill="auto"/>
          </w:tcPr>
          <w:p w14:paraId="48A5520E" w14:textId="77777777" w:rsidR="00A005B7" w:rsidRDefault="00A005B7" w:rsidP="000B616F">
            <w:pPr>
              <w:spacing w:before="120"/>
              <w:jc w:val="center"/>
            </w:pPr>
            <w:r>
              <w:t>2</w:t>
            </w:r>
          </w:p>
        </w:tc>
        <w:tc>
          <w:tcPr>
            <w:tcW w:w="2507" w:type="dxa"/>
            <w:shd w:val="clear" w:color="auto" w:fill="auto"/>
          </w:tcPr>
          <w:p w14:paraId="0949BA15" w14:textId="77777777" w:rsidR="00A005B7" w:rsidRDefault="00A005B7" w:rsidP="000B616F">
            <w:pPr>
              <w:spacing w:before="120"/>
              <w:ind w:right="720"/>
              <w:jc w:val="right"/>
            </w:pPr>
            <w:r>
              <w:t>27,220</w:t>
            </w:r>
          </w:p>
        </w:tc>
      </w:tr>
      <w:tr w:rsidR="00A005B7" w14:paraId="2966DE30" w14:textId="77777777" w:rsidTr="000B616F">
        <w:tc>
          <w:tcPr>
            <w:tcW w:w="2790" w:type="dxa"/>
            <w:shd w:val="clear" w:color="auto" w:fill="auto"/>
          </w:tcPr>
          <w:p w14:paraId="4A4BF053" w14:textId="77777777" w:rsidR="00A005B7" w:rsidRDefault="00A005B7" w:rsidP="000B616F">
            <w:pPr>
              <w:spacing w:before="120"/>
              <w:jc w:val="center"/>
            </w:pPr>
            <w:r>
              <w:t>3</w:t>
            </w:r>
          </w:p>
        </w:tc>
        <w:tc>
          <w:tcPr>
            <w:tcW w:w="2507" w:type="dxa"/>
            <w:shd w:val="clear" w:color="auto" w:fill="auto"/>
          </w:tcPr>
          <w:p w14:paraId="5E4F75CB" w14:textId="77777777" w:rsidR="00A005B7" w:rsidRDefault="00A005B7" w:rsidP="000B616F">
            <w:pPr>
              <w:spacing w:before="120"/>
              <w:ind w:right="720"/>
              <w:jc w:val="right"/>
            </w:pPr>
            <w:r>
              <w:t>4,727</w:t>
            </w:r>
          </w:p>
        </w:tc>
      </w:tr>
      <w:tr w:rsidR="00A005B7" w14:paraId="34DCFC67" w14:textId="77777777" w:rsidTr="000B616F">
        <w:tc>
          <w:tcPr>
            <w:tcW w:w="2790" w:type="dxa"/>
            <w:shd w:val="clear" w:color="auto" w:fill="auto"/>
          </w:tcPr>
          <w:p w14:paraId="6A66B16D" w14:textId="77777777" w:rsidR="00A005B7" w:rsidRDefault="00A005B7" w:rsidP="000B616F">
            <w:pPr>
              <w:spacing w:before="120"/>
              <w:jc w:val="center"/>
            </w:pPr>
            <w:r>
              <w:t>4</w:t>
            </w:r>
          </w:p>
        </w:tc>
        <w:tc>
          <w:tcPr>
            <w:tcW w:w="2507" w:type="dxa"/>
            <w:shd w:val="clear" w:color="auto" w:fill="auto"/>
          </w:tcPr>
          <w:p w14:paraId="00B18236" w14:textId="77777777" w:rsidR="00A005B7" w:rsidRDefault="00A005B7" w:rsidP="000B616F">
            <w:pPr>
              <w:spacing w:before="120"/>
              <w:ind w:right="720"/>
              <w:jc w:val="right"/>
            </w:pPr>
            <w:r>
              <w:t>1020</w:t>
            </w:r>
          </w:p>
        </w:tc>
      </w:tr>
      <w:tr w:rsidR="00A005B7" w14:paraId="6065F9B2" w14:textId="77777777" w:rsidTr="000B616F">
        <w:tc>
          <w:tcPr>
            <w:tcW w:w="2790" w:type="dxa"/>
            <w:shd w:val="clear" w:color="auto" w:fill="auto"/>
          </w:tcPr>
          <w:p w14:paraId="1CCBCA65" w14:textId="77777777" w:rsidR="00A005B7" w:rsidRDefault="00A005B7" w:rsidP="000B616F">
            <w:pPr>
              <w:spacing w:before="120"/>
              <w:jc w:val="center"/>
            </w:pPr>
            <w:r>
              <w:t>5</w:t>
            </w:r>
          </w:p>
        </w:tc>
        <w:tc>
          <w:tcPr>
            <w:tcW w:w="2507" w:type="dxa"/>
            <w:shd w:val="clear" w:color="auto" w:fill="auto"/>
          </w:tcPr>
          <w:p w14:paraId="512054E7" w14:textId="77777777" w:rsidR="00A005B7" w:rsidRDefault="00A005B7" w:rsidP="000B616F">
            <w:pPr>
              <w:spacing w:before="120"/>
              <w:ind w:right="720"/>
              <w:jc w:val="right"/>
            </w:pPr>
            <w:r>
              <w:t>223</w:t>
            </w:r>
          </w:p>
        </w:tc>
      </w:tr>
      <w:tr w:rsidR="00A005B7" w14:paraId="2BEAE3DF" w14:textId="77777777" w:rsidTr="000B616F">
        <w:tc>
          <w:tcPr>
            <w:tcW w:w="2790" w:type="dxa"/>
            <w:shd w:val="clear" w:color="auto" w:fill="auto"/>
          </w:tcPr>
          <w:p w14:paraId="432906AB" w14:textId="77777777" w:rsidR="00A005B7" w:rsidRDefault="00A005B7" w:rsidP="000B616F">
            <w:pPr>
              <w:spacing w:before="120"/>
              <w:jc w:val="center"/>
            </w:pPr>
            <w:r>
              <w:t>6</w:t>
            </w:r>
          </w:p>
        </w:tc>
        <w:tc>
          <w:tcPr>
            <w:tcW w:w="2507" w:type="dxa"/>
            <w:shd w:val="clear" w:color="auto" w:fill="auto"/>
          </w:tcPr>
          <w:p w14:paraId="17F1A245" w14:textId="77777777" w:rsidR="00A005B7" w:rsidRDefault="00A005B7" w:rsidP="000B616F">
            <w:pPr>
              <w:spacing w:before="120"/>
              <w:ind w:right="720"/>
              <w:jc w:val="right"/>
            </w:pPr>
            <w:r>
              <w:t>39</w:t>
            </w:r>
          </w:p>
        </w:tc>
      </w:tr>
      <w:tr w:rsidR="00A005B7" w14:paraId="7932787D" w14:textId="77777777" w:rsidTr="000B616F">
        <w:tc>
          <w:tcPr>
            <w:tcW w:w="2790" w:type="dxa"/>
            <w:shd w:val="clear" w:color="auto" w:fill="auto"/>
          </w:tcPr>
          <w:p w14:paraId="6D349B54" w14:textId="77777777" w:rsidR="00A005B7" w:rsidRDefault="00A005B7" w:rsidP="000B616F">
            <w:pPr>
              <w:spacing w:before="120"/>
              <w:jc w:val="center"/>
            </w:pPr>
            <w:r>
              <w:t>7</w:t>
            </w:r>
          </w:p>
        </w:tc>
        <w:tc>
          <w:tcPr>
            <w:tcW w:w="2507" w:type="dxa"/>
            <w:shd w:val="clear" w:color="auto" w:fill="auto"/>
          </w:tcPr>
          <w:p w14:paraId="1637E3FF" w14:textId="77777777" w:rsidR="00A005B7" w:rsidRDefault="00A005B7" w:rsidP="000B616F">
            <w:pPr>
              <w:spacing w:before="120"/>
              <w:ind w:right="720"/>
              <w:jc w:val="right"/>
            </w:pPr>
            <w:r>
              <w:t>14</w:t>
            </w:r>
          </w:p>
        </w:tc>
      </w:tr>
      <w:tr w:rsidR="00A005B7" w14:paraId="7BF6482B" w14:textId="77777777" w:rsidTr="000B616F">
        <w:tc>
          <w:tcPr>
            <w:tcW w:w="2790" w:type="dxa"/>
            <w:shd w:val="clear" w:color="auto" w:fill="auto"/>
          </w:tcPr>
          <w:p w14:paraId="20453EDC" w14:textId="77777777" w:rsidR="00A005B7" w:rsidRDefault="00A005B7" w:rsidP="000B616F">
            <w:pPr>
              <w:spacing w:before="120"/>
              <w:jc w:val="center"/>
            </w:pPr>
            <w:r>
              <w:t>8</w:t>
            </w:r>
          </w:p>
        </w:tc>
        <w:tc>
          <w:tcPr>
            <w:tcW w:w="2507" w:type="dxa"/>
            <w:shd w:val="clear" w:color="auto" w:fill="auto"/>
          </w:tcPr>
          <w:p w14:paraId="1B8943AF" w14:textId="77777777" w:rsidR="00A005B7" w:rsidRDefault="00A005B7" w:rsidP="000B616F">
            <w:pPr>
              <w:spacing w:before="120"/>
              <w:ind w:right="720"/>
              <w:jc w:val="right"/>
            </w:pPr>
            <w:r>
              <w:t>1</w:t>
            </w:r>
          </w:p>
        </w:tc>
      </w:tr>
    </w:tbl>
    <w:p w14:paraId="323B9148" w14:textId="77777777" w:rsidR="00A005B7" w:rsidRDefault="00A005B7" w:rsidP="00A005B7">
      <w:pPr>
        <w:spacing w:line="480" w:lineRule="auto"/>
        <w:ind w:left="720" w:hanging="720"/>
      </w:pPr>
    </w:p>
    <w:p w14:paraId="32415425" w14:textId="77777777" w:rsidR="00850846" w:rsidRDefault="00850846" w:rsidP="00850846">
      <w:pPr>
        <w:spacing w:line="480" w:lineRule="auto"/>
        <w:ind w:left="720" w:hanging="720"/>
        <w:rPr>
          <w:b/>
        </w:rPr>
      </w:pPr>
      <w:r>
        <w:rPr>
          <w:b/>
        </w:rPr>
        <w:t xml:space="preserve">Q: </w:t>
      </w:r>
      <w:r>
        <w:rPr>
          <w:b/>
        </w:rPr>
        <w:tab/>
        <w:t>Later in your testimony, you analyze hardship-coded customers on a</w:t>
      </w:r>
      <w:r w:rsidR="00A93FF2">
        <w:rPr>
          <w:b/>
        </w:rPr>
        <w:t xml:space="preserve"> Supplier</w:t>
      </w:r>
      <w:r>
        <w:rPr>
          <w:b/>
        </w:rPr>
        <w:t>-specific basis in the UI territory.  Were you able to perform a similar</w:t>
      </w:r>
      <w:r w:rsidR="00A93FF2">
        <w:rPr>
          <w:b/>
        </w:rPr>
        <w:t xml:space="preserve"> Supplier</w:t>
      </w:r>
      <w:r>
        <w:rPr>
          <w:b/>
        </w:rPr>
        <w:t>-specific analysis for hardship-coded customers in CL&amp;P’s territory?</w:t>
      </w:r>
    </w:p>
    <w:p w14:paraId="0F45D2E1" w14:textId="77777777" w:rsidR="00850846" w:rsidRPr="002B18D9" w:rsidRDefault="00850846" w:rsidP="00850846">
      <w:pPr>
        <w:spacing w:line="480" w:lineRule="auto"/>
        <w:ind w:left="720" w:hanging="720"/>
      </w:pPr>
      <w:r w:rsidRPr="002B18D9">
        <w:t>A:</w:t>
      </w:r>
      <w:r w:rsidRPr="002B18D9">
        <w:tab/>
        <w:t xml:space="preserve">No, </w:t>
      </w:r>
      <w:r>
        <w:t>although this information was requested in interrogatory OCC-16, CL&amp;P only provided aggregate data on hardship-coded customers and did not provide such data on a</w:t>
      </w:r>
      <w:r w:rsidR="00A93FF2">
        <w:t xml:space="preserve"> Supplier</w:t>
      </w:r>
      <w:r>
        <w:t xml:space="preserve">-specific basis.  </w:t>
      </w:r>
    </w:p>
    <w:p w14:paraId="04B7C780" w14:textId="77777777" w:rsidR="00A005B7" w:rsidRDefault="00A005B7" w:rsidP="00A005B7">
      <w:pPr>
        <w:spacing w:line="480" w:lineRule="auto"/>
        <w:ind w:left="720" w:hanging="720"/>
        <w:jc w:val="both"/>
        <w:rPr>
          <w:b/>
        </w:rPr>
      </w:pPr>
      <w:r>
        <w:rPr>
          <w:b/>
        </w:rPr>
        <w:t>United Illuminating Company</w:t>
      </w:r>
    </w:p>
    <w:p w14:paraId="196D3119" w14:textId="77777777" w:rsidR="00A005B7" w:rsidRPr="00AA2E82" w:rsidRDefault="00A005B7" w:rsidP="00A005B7">
      <w:pPr>
        <w:spacing w:line="480" w:lineRule="auto"/>
        <w:ind w:left="720" w:hanging="720"/>
        <w:rPr>
          <w:b/>
        </w:rPr>
      </w:pPr>
      <w:r w:rsidRPr="00AA2E82">
        <w:rPr>
          <w:b/>
        </w:rPr>
        <w:t>Q:</w:t>
      </w:r>
      <w:r w:rsidRPr="00AA2E82">
        <w:rPr>
          <w:b/>
        </w:rPr>
        <w:tab/>
      </w:r>
      <w:r>
        <w:rPr>
          <w:b/>
        </w:rPr>
        <w:t xml:space="preserve">Have you reviewed information that UI provided regarding the number of customers for which UI provides </w:t>
      </w:r>
      <w:r w:rsidR="001779DA">
        <w:rPr>
          <w:b/>
        </w:rPr>
        <w:t>distribution</w:t>
      </w:r>
      <w:r>
        <w:rPr>
          <w:b/>
        </w:rPr>
        <w:t xml:space="preserve"> services to alternative</w:t>
      </w:r>
      <w:r w:rsidR="00A93FF2">
        <w:rPr>
          <w:b/>
        </w:rPr>
        <w:t xml:space="preserve"> Supplier</w:t>
      </w:r>
      <w:r>
        <w:rPr>
          <w:b/>
        </w:rPr>
        <w:t>s and the prices those</w:t>
      </w:r>
      <w:r w:rsidR="00A93FF2">
        <w:rPr>
          <w:b/>
        </w:rPr>
        <w:t xml:space="preserve"> Supplier</w:t>
      </w:r>
      <w:r>
        <w:rPr>
          <w:b/>
        </w:rPr>
        <w:t>s charge their customers</w:t>
      </w:r>
      <w:r w:rsidRPr="00AA2E82">
        <w:rPr>
          <w:b/>
        </w:rPr>
        <w:t>?</w:t>
      </w:r>
    </w:p>
    <w:p w14:paraId="0D015D62" w14:textId="77777777" w:rsidR="00A005B7" w:rsidRDefault="00A005B7" w:rsidP="00A005B7">
      <w:pPr>
        <w:spacing w:line="480" w:lineRule="auto"/>
        <w:ind w:left="720" w:hanging="720"/>
      </w:pPr>
      <w:r>
        <w:t>A:</w:t>
      </w:r>
      <w:r>
        <w:tab/>
        <w:t>Yes.</w:t>
      </w:r>
    </w:p>
    <w:p w14:paraId="08682F27" w14:textId="77777777" w:rsidR="00A005B7" w:rsidRDefault="00A005B7" w:rsidP="00A005B7">
      <w:pPr>
        <w:spacing w:line="480" w:lineRule="auto"/>
        <w:ind w:left="720" w:hanging="720"/>
        <w:rPr>
          <w:b/>
        </w:rPr>
      </w:pPr>
      <w:r w:rsidRPr="00AA2E82">
        <w:rPr>
          <w:b/>
        </w:rPr>
        <w:t xml:space="preserve">Q.  </w:t>
      </w:r>
      <w:r w:rsidRPr="00AA2E82">
        <w:rPr>
          <w:b/>
        </w:rPr>
        <w:tab/>
      </w:r>
      <w:r>
        <w:rPr>
          <w:b/>
        </w:rPr>
        <w:t>Can you give a general overview of the materials you reviewed</w:t>
      </w:r>
      <w:r w:rsidRPr="00AA2E82">
        <w:rPr>
          <w:b/>
        </w:rPr>
        <w:t xml:space="preserve">?  </w:t>
      </w:r>
    </w:p>
    <w:p w14:paraId="1FE5A7A3" w14:textId="77777777" w:rsidR="00A005B7" w:rsidRPr="00141157" w:rsidRDefault="00A005B7" w:rsidP="00A005B7">
      <w:pPr>
        <w:spacing w:line="480" w:lineRule="auto"/>
        <w:ind w:left="720" w:hanging="720"/>
      </w:pPr>
      <w:r w:rsidRPr="00141157">
        <w:t>A:</w:t>
      </w:r>
      <w:r w:rsidRPr="00141157">
        <w:tab/>
      </w:r>
      <w:r w:rsidR="00EF0A1E">
        <w:t>Yes.  We</w:t>
      </w:r>
      <w:r>
        <w:t xml:space="preserve"> reviewed the materials UI provided in response to Q-OCC-011 through Q-OCC-020</w:t>
      </w:r>
      <w:r w:rsidR="00097C23">
        <w:t>, including confidential attachments</w:t>
      </w:r>
      <w:r>
        <w:t>.</w:t>
      </w:r>
    </w:p>
    <w:p w14:paraId="485CE218" w14:textId="77777777" w:rsidR="00A005B7" w:rsidRDefault="00A005B7" w:rsidP="00A005B7">
      <w:pPr>
        <w:spacing w:line="480" w:lineRule="auto"/>
        <w:ind w:left="720" w:hanging="720"/>
        <w:rPr>
          <w:b/>
        </w:rPr>
      </w:pPr>
      <w:r>
        <w:rPr>
          <w:b/>
        </w:rPr>
        <w:t>Q:</w:t>
      </w:r>
      <w:r>
        <w:rPr>
          <w:b/>
        </w:rPr>
        <w:tab/>
        <w:t>Do you have public information about the magnitude of customers that are being served in UI’s operating territory?</w:t>
      </w:r>
    </w:p>
    <w:p w14:paraId="2E5A904E" w14:textId="77777777" w:rsidR="00A005B7" w:rsidRDefault="00A005B7" w:rsidP="00A005B7">
      <w:pPr>
        <w:spacing w:line="480" w:lineRule="auto"/>
        <w:ind w:left="720" w:hanging="720"/>
      </w:pPr>
      <w:r>
        <w:t>A:</w:t>
      </w:r>
      <w:r>
        <w:tab/>
        <w:t xml:space="preserve">Yes.  </w:t>
      </w:r>
      <w:r w:rsidR="00C447BD">
        <w:t xml:space="preserve">For the recent billing cycle it used for its response, </w:t>
      </w:r>
      <w:r>
        <w:t>UI bill</w:t>
      </w:r>
      <w:r w:rsidR="00C447BD">
        <w:t>ed</w:t>
      </w:r>
      <w:r>
        <w:t xml:space="preserve"> 137,012 residential customers for 38</w:t>
      </w:r>
      <w:r w:rsidR="00A93FF2">
        <w:t xml:space="preserve"> Supplier</w:t>
      </w:r>
      <w:r>
        <w:t>s in Connecticut.</w:t>
      </w:r>
      <w:r>
        <w:rPr>
          <w:rStyle w:val="FootnoteReference"/>
        </w:rPr>
        <w:footnoteReference w:id="52"/>
      </w:r>
      <w:r w:rsidR="00526614">
        <w:t xml:space="preserve">  </w:t>
      </w:r>
      <w:r>
        <w:t xml:space="preserve">Table </w:t>
      </w:r>
      <w:r w:rsidR="0055710F">
        <w:t>15</w:t>
      </w:r>
      <w:r>
        <w:t xml:space="preserve"> below shows the number of heating</w:t>
      </w:r>
      <w:r w:rsidR="00A864C8">
        <w:t xml:space="preserve"> customers</w:t>
      </w:r>
      <w:r>
        <w:t>, non-heating customers</w:t>
      </w:r>
      <w:r w:rsidR="00A864C8">
        <w:t xml:space="preserve">, and </w:t>
      </w:r>
      <w:r>
        <w:t>hardship</w:t>
      </w:r>
      <w:r w:rsidR="00A864C8">
        <w:t>-</w:t>
      </w:r>
      <w:r>
        <w:t>designat</w:t>
      </w:r>
      <w:r w:rsidR="00A864C8">
        <w:t>ed customers</w:t>
      </w:r>
      <w:r>
        <w:t xml:space="preserve"> for UI and the</w:t>
      </w:r>
      <w:r w:rsidR="00A93FF2">
        <w:t xml:space="preserve"> Supplier</w:t>
      </w:r>
      <w:r>
        <w:t>s for which UI provide</w:t>
      </w:r>
      <w:r w:rsidR="00C447BD">
        <w:t>d</w:t>
      </w:r>
      <w:r>
        <w:t xml:space="preserve"> </w:t>
      </w:r>
      <w:r w:rsidR="00C447BD">
        <w:t>distribution services.</w:t>
      </w:r>
      <w:r>
        <w:t xml:space="preserve">  </w:t>
      </w:r>
    </w:p>
    <w:p w14:paraId="635ED527" w14:textId="77777777" w:rsidR="00A005B7" w:rsidRDefault="00A005B7" w:rsidP="00A005B7">
      <w:pPr>
        <w:keepNext/>
        <w:keepLines/>
        <w:ind w:left="720" w:hanging="720"/>
        <w:jc w:val="center"/>
        <w:rPr>
          <w:b/>
        </w:rPr>
      </w:pPr>
      <w:r>
        <w:rPr>
          <w:b/>
        </w:rPr>
        <w:t xml:space="preserve">Table </w:t>
      </w:r>
      <w:r w:rsidR="000226D5">
        <w:rPr>
          <w:b/>
        </w:rPr>
        <w:t>1</w:t>
      </w:r>
      <w:r w:rsidR="0055710F">
        <w:rPr>
          <w:b/>
        </w:rPr>
        <w:t>5</w:t>
      </w:r>
      <w:r>
        <w:rPr>
          <w:rStyle w:val="FootnoteReference"/>
          <w:b/>
        </w:rPr>
        <w:footnoteReference w:id="53"/>
      </w:r>
    </w:p>
    <w:p w14:paraId="48242AAF" w14:textId="77777777" w:rsidR="000226D5" w:rsidRDefault="000226D5" w:rsidP="00A005B7">
      <w:pPr>
        <w:keepNext/>
        <w:keepLines/>
        <w:ind w:left="720" w:hanging="720"/>
        <w:jc w:val="center"/>
        <w:rPr>
          <w:b/>
        </w:rPr>
      </w:pPr>
      <w:r>
        <w:rPr>
          <w:b/>
        </w:rPr>
        <w:t>Comparative Distribution of UI Customers and Suppliers’ Customers in the UI Footprint</w:t>
      </w:r>
    </w:p>
    <w:p w14:paraId="2E865C88" w14:textId="77777777" w:rsidR="00A005B7" w:rsidRDefault="00A005B7" w:rsidP="00A005B7">
      <w:pPr>
        <w:keepNext/>
        <w:keepLines/>
        <w:ind w:left="720" w:hanging="720"/>
        <w:jc w:val="center"/>
        <w:rPr>
          <w:b/>
        </w:rPr>
      </w:pPr>
    </w:p>
    <w:tbl>
      <w:tblPr>
        <w:tblW w:w="8380" w:type="dxa"/>
        <w:jc w:val="center"/>
        <w:tblLook w:val="04A0" w:firstRow="1" w:lastRow="0" w:firstColumn="1" w:lastColumn="0" w:noHBand="0" w:noVBand="1"/>
      </w:tblPr>
      <w:tblGrid>
        <w:gridCol w:w="271"/>
        <w:gridCol w:w="3160"/>
        <w:gridCol w:w="1140"/>
        <w:gridCol w:w="1180"/>
        <w:gridCol w:w="276"/>
        <w:gridCol w:w="1180"/>
        <w:gridCol w:w="1200"/>
        <w:gridCol w:w="266"/>
      </w:tblGrid>
      <w:tr w:rsidR="00A005B7" w:rsidRPr="00AA32FB" w14:paraId="2924F0BE" w14:textId="77777777" w:rsidTr="000B616F">
        <w:trPr>
          <w:trHeight w:val="420"/>
          <w:jc w:val="center"/>
        </w:trPr>
        <w:tc>
          <w:tcPr>
            <w:tcW w:w="200" w:type="dxa"/>
            <w:tcBorders>
              <w:top w:val="single" w:sz="8" w:space="0" w:color="auto"/>
              <w:left w:val="single" w:sz="8" w:space="0" w:color="auto"/>
              <w:bottom w:val="nil"/>
              <w:right w:val="nil"/>
            </w:tcBorders>
            <w:shd w:val="clear" w:color="auto" w:fill="auto"/>
            <w:noWrap/>
            <w:vAlign w:val="bottom"/>
            <w:hideMark/>
          </w:tcPr>
          <w:p w14:paraId="7398A8E4"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single" w:sz="8" w:space="0" w:color="auto"/>
              <w:left w:val="nil"/>
              <w:bottom w:val="nil"/>
              <w:right w:val="nil"/>
            </w:tcBorders>
            <w:shd w:val="clear" w:color="auto" w:fill="auto"/>
            <w:noWrap/>
            <w:vAlign w:val="bottom"/>
            <w:hideMark/>
          </w:tcPr>
          <w:p w14:paraId="42942AB7"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2320" w:type="dxa"/>
            <w:gridSpan w:val="2"/>
            <w:tcBorders>
              <w:top w:val="single" w:sz="8" w:space="0" w:color="auto"/>
              <w:left w:val="single" w:sz="8" w:space="0" w:color="auto"/>
              <w:bottom w:val="nil"/>
              <w:right w:val="nil"/>
            </w:tcBorders>
            <w:shd w:val="clear" w:color="auto" w:fill="auto"/>
            <w:noWrap/>
            <w:vAlign w:val="center"/>
            <w:hideMark/>
          </w:tcPr>
          <w:p w14:paraId="493779EF" w14:textId="77777777" w:rsidR="00A005B7" w:rsidRPr="00AA32FB" w:rsidRDefault="00A005B7" w:rsidP="000B616F">
            <w:pPr>
              <w:keepNext/>
              <w:keepLines/>
              <w:widowControl/>
              <w:autoSpaceDE/>
              <w:autoSpaceDN/>
              <w:adjustRightInd/>
              <w:jc w:val="center"/>
              <w:rPr>
                <w:b/>
                <w:bCs/>
                <w:color w:val="000000"/>
              </w:rPr>
            </w:pPr>
            <w:r w:rsidRPr="00AA32FB">
              <w:rPr>
                <w:b/>
                <w:bCs/>
                <w:color w:val="000000"/>
              </w:rPr>
              <w:t>UI</w:t>
            </w:r>
          </w:p>
        </w:tc>
        <w:tc>
          <w:tcPr>
            <w:tcW w:w="140" w:type="dxa"/>
            <w:tcBorders>
              <w:top w:val="single" w:sz="8" w:space="0" w:color="auto"/>
              <w:left w:val="nil"/>
              <w:bottom w:val="nil"/>
              <w:right w:val="single" w:sz="8" w:space="0" w:color="auto"/>
            </w:tcBorders>
            <w:shd w:val="clear" w:color="auto" w:fill="auto"/>
            <w:noWrap/>
            <w:vAlign w:val="center"/>
            <w:hideMark/>
          </w:tcPr>
          <w:p w14:paraId="704D9C4A" w14:textId="77777777" w:rsidR="00A005B7" w:rsidRPr="00AA32FB" w:rsidRDefault="00A005B7" w:rsidP="000B616F">
            <w:pPr>
              <w:keepNext/>
              <w:keepLines/>
              <w:widowControl/>
              <w:autoSpaceDE/>
              <w:autoSpaceDN/>
              <w:adjustRightInd/>
              <w:jc w:val="center"/>
              <w:rPr>
                <w:b/>
                <w:bCs/>
                <w:color w:val="000000"/>
              </w:rPr>
            </w:pPr>
            <w:r w:rsidRPr="00AA32FB">
              <w:rPr>
                <w:b/>
                <w:bCs/>
                <w:color w:val="000000"/>
              </w:rPr>
              <w:t> </w:t>
            </w:r>
          </w:p>
        </w:tc>
        <w:tc>
          <w:tcPr>
            <w:tcW w:w="2380" w:type="dxa"/>
            <w:gridSpan w:val="2"/>
            <w:tcBorders>
              <w:top w:val="single" w:sz="8" w:space="0" w:color="auto"/>
              <w:left w:val="nil"/>
              <w:bottom w:val="nil"/>
              <w:right w:val="nil"/>
            </w:tcBorders>
            <w:shd w:val="clear" w:color="auto" w:fill="auto"/>
            <w:noWrap/>
            <w:vAlign w:val="center"/>
            <w:hideMark/>
          </w:tcPr>
          <w:p w14:paraId="6C71B43F" w14:textId="77777777" w:rsidR="00A005B7" w:rsidRPr="00AA32FB" w:rsidRDefault="00A005B7" w:rsidP="000B616F">
            <w:pPr>
              <w:keepNext/>
              <w:keepLines/>
              <w:widowControl/>
              <w:autoSpaceDE/>
              <w:autoSpaceDN/>
              <w:adjustRightInd/>
              <w:jc w:val="center"/>
              <w:rPr>
                <w:b/>
                <w:bCs/>
                <w:color w:val="000000"/>
              </w:rPr>
            </w:pPr>
            <w:r w:rsidRPr="00AA32FB">
              <w:rPr>
                <w:b/>
                <w:bCs/>
                <w:color w:val="000000"/>
              </w:rPr>
              <w:t>UI Suppliers</w:t>
            </w:r>
          </w:p>
        </w:tc>
        <w:tc>
          <w:tcPr>
            <w:tcW w:w="180" w:type="dxa"/>
            <w:tcBorders>
              <w:top w:val="single" w:sz="8" w:space="0" w:color="auto"/>
              <w:left w:val="nil"/>
              <w:bottom w:val="nil"/>
              <w:right w:val="single" w:sz="8" w:space="0" w:color="auto"/>
            </w:tcBorders>
            <w:shd w:val="clear" w:color="auto" w:fill="auto"/>
            <w:noWrap/>
            <w:vAlign w:val="center"/>
            <w:hideMark/>
          </w:tcPr>
          <w:p w14:paraId="611CCE58"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62320844" w14:textId="77777777" w:rsidTr="000B616F">
        <w:trPr>
          <w:trHeight w:val="740"/>
          <w:jc w:val="center"/>
        </w:trPr>
        <w:tc>
          <w:tcPr>
            <w:tcW w:w="200" w:type="dxa"/>
            <w:tcBorders>
              <w:top w:val="nil"/>
              <w:left w:val="single" w:sz="8" w:space="0" w:color="auto"/>
              <w:bottom w:val="single" w:sz="8" w:space="0" w:color="auto"/>
              <w:right w:val="nil"/>
            </w:tcBorders>
            <w:shd w:val="clear" w:color="auto" w:fill="auto"/>
            <w:noWrap/>
            <w:vAlign w:val="bottom"/>
            <w:hideMark/>
          </w:tcPr>
          <w:p w14:paraId="09347CA6"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single" w:sz="8" w:space="0" w:color="auto"/>
              <w:right w:val="nil"/>
            </w:tcBorders>
            <w:shd w:val="clear" w:color="auto" w:fill="auto"/>
            <w:noWrap/>
            <w:vAlign w:val="bottom"/>
            <w:hideMark/>
          </w:tcPr>
          <w:p w14:paraId="3D9E94B1"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1140" w:type="dxa"/>
            <w:tcBorders>
              <w:top w:val="nil"/>
              <w:left w:val="single" w:sz="8" w:space="0" w:color="auto"/>
              <w:bottom w:val="nil"/>
              <w:right w:val="nil"/>
            </w:tcBorders>
            <w:shd w:val="clear" w:color="auto" w:fill="auto"/>
            <w:vAlign w:val="center"/>
            <w:hideMark/>
          </w:tcPr>
          <w:p w14:paraId="07BB2079" w14:textId="77777777" w:rsidR="00A005B7" w:rsidRPr="00AA32FB" w:rsidRDefault="00A005B7" w:rsidP="000B616F">
            <w:pPr>
              <w:keepNext/>
              <w:keepLines/>
              <w:widowControl/>
              <w:autoSpaceDE/>
              <w:autoSpaceDN/>
              <w:adjustRightInd/>
              <w:jc w:val="center"/>
              <w:rPr>
                <w:b/>
                <w:bCs/>
                <w:color w:val="000000"/>
                <w:sz w:val="20"/>
                <w:szCs w:val="20"/>
              </w:rPr>
            </w:pPr>
            <w:r w:rsidRPr="00AA32FB">
              <w:rPr>
                <w:b/>
                <w:bCs/>
                <w:color w:val="000000"/>
                <w:sz w:val="20"/>
                <w:szCs w:val="20"/>
              </w:rPr>
              <w:t>Number of Customers</w:t>
            </w:r>
          </w:p>
        </w:tc>
        <w:tc>
          <w:tcPr>
            <w:tcW w:w="1180" w:type="dxa"/>
            <w:tcBorders>
              <w:top w:val="nil"/>
              <w:left w:val="nil"/>
              <w:bottom w:val="nil"/>
              <w:right w:val="nil"/>
            </w:tcBorders>
            <w:shd w:val="clear" w:color="auto" w:fill="auto"/>
            <w:vAlign w:val="center"/>
            <w:hideMark/>
          </w:tcPr>
          <w:p w14:paraId="30D97117" w14:textId="77777777" w:rsidR="00A005B7" w:rsidRPr="00AA32FB" w:rsidRDefault="00A005B7" w:rsidP="000B616F">
            <w:pPr>
              <w:keepNext/>
              <w:keepLines/>
              <w:widowControl/>
              <w:autoSpaceDE/>
              <w:autoSpaceDN/>
              <w:adjustRightInd/>
              <w:jc w:val="center"/>
              <w:rPr>
                <w:b/>
                <w:bCs/>
                <w:color w:val="000000"/>
                <w:sz w:val="20"/>
                <w:szCs w:val="20"/>
              </w:rPr>
            </w:pPr>
            <w:r w:rsidRPr="00AA32FB">
              <w:rPr>
                <w:b/>
                <w:bCs/>
                <w:color w:val="000000"/>
                <w:sz w:val="20"/>
                <w:szCs w:val="20"/>
              </w:rPr>
              <w:t>Percent of Total Customers</w:t>
            </w:r>
          </w:p>
        </w:tc>
        <w:tc>
          <w:tcPr>
            <w:tcW w:w="140" w:type="dxa"/>
            <w:tcBorders>
              <w:top w:val="nil"/>
              <w:left w:val="nil"/>
              <w:bottom w:val="single" w:sz="8" w:space="0" w:color="auto"/>
              <w:right w:val="single" w:sz="8" w:space="0" w:color="auto"/>
            </w:tcBorders>
            <w:shd w:val="clear" w:color="auto" w:fill="auto"/>
            <w:vAlign w:val="center"/>
            <w:hideMark/>
          </w:tcPr>
          <w:p w14:paraId="20D43C80" w14:textId="77777777" w:rsidR="00A005B7" w:rsidRPr="00AA32FB" w:rsidRDefault="00A005B7" w:rsidP="000B616F">
            <w:pPr>
              <w:keepNext/>
              <w:keepLines/>
              <w:widowControl/>
              <w:autoSpaceDE/>
              <w:autoSpaceDN/>
              <w:adjustRightInd/>
              <w:jc w:val="center"/>
              <w:rPr>
                <w:b/>
                <w:bCs/>
                <w:color w:val="000000"/>
                <w:sz w:val="20"/>
                <w:szCs w:val="20"/>
              </w:rPr>
            </w:pPr>
            <w:r w:rsidRPr="00AA32FB">
              <w:rPr>
                <w:b/>
                <w:bCs/>
                <w:color w:val="000000"/>
                <w:sz w:val="20"/>
                <w:szCs w:val="20"/>
              </w:rPr>
              <w:t> </w:t>
            </w:r>
          </w:p>
        </w:tc>
        <w:tc>
          <w:tcPr>
            <w:tcW w:w="1180" w:type="dxa"/>
            <w:tcBorders>
              <w:top w:val="nil"/>
              <w:left w:val="nil"/>
              <w:bottom w:val="single" w:sz="8" w:space="0" w:color="auto"/>
              <w:right w:val="nil"/>
            </w:tcBorders>
            <w:shd w:val="clear" w:color="auto" w:fill="auto"/>
            <w:vAlign w:val="center"/>
            <w:hideMark/>
          </w:tcPr>
          <w:p w14:paraId="0921B65F" w14:textId="77777777" w:rsidR="00A005B7" w:rsidRPr="00AA32FB" w:rsidRDefault="00A005B7" w:rsidP="000B616F">
            <w:pPr>
              <w:keepNext/>
              <w:keepLines/>
              <w:widowControl/>
              <w:autoSpaceDE/>
              <w:autoSpaceDN/>
              <w:adjustRightInd/>
              <w:jc w:val="center"/>
              <w:rPr>
                <w:b/>
                <w:bCs/>
                <w:color w:val="000000"/>
                <w:sz w:val="20"/>
                <w:szCs w:val="20"/>
              </w:rPr>
            </w:pPr>
            <w:r w:rsidRPr="00AA32FB">
              <w:rPr>
                <w:b/>
                <w:bCs/>
                <w:color w:val="000000"/>
                <w:sz w:val="20"/>
                <w:szCs w:val="20"/>
              </w:rPr>
              <w:t>Percent of Total Customers</w:t>
            </w:r>
          </w:p>
        </w:tc>
        <w:tc>
          <w:tcPr>
            <w:tcW w:w="1200" w:type="dxa"/>
            <w:tcBorders>
              <w:top w:val="nil"/>
              <w:left w:val="nil"/>
              <w:bottom w:val="single" w:sz="8" w:space="0" w:color="auto"/>
              <w:right w:val="nil"/>
            </w:tcBorders>
            <w:shd w:val="clear" w:color="auto" w:fill="auto"/>
            <w:vAlign w:val="center"/>
            <w:hideMark/>
          </w:tcPr>
          <w:p w14:paraId="6D5E1301" w14:textId="77777777" w:rsidR="00A005B7" w:rsidRPr="00AA32FB" w:rsidRDefault="00A005B7" w:rsidP="000B616F">
            <w:pPr>
              <w:keepNext/>
              <w:keepLines/>
              <w:widowControl/>
              <w:autoSpaceDE/>
              <w:autoSpaceDN/>
              <w:adjustRightInd/>
              <w:jc w:val="center"/>
              <w:rPr>
                <w:b/>
                <w:bCs/>
                <w:color w:val="000000"/>
                <w:sz w:val="20"/>
                <w:szCs w:val="20"/>
              </w:rPr>
            </w:pPr>
            <w:r w:rsidRPr="00AA32FB">
              <w:rPr>
                <w:b/>
                <w:bCs/>
                <w:color w:val="000000"/>
                <w:sz w:val="20"/>
                <w:szCs w:val="20"/>
              </w:rPr>
              <w:t>Number of Customers</w:t>
            </w:r>
          </w:p>
        </w:tc>
        <w:tc>
          <w:tcPr>
            <w:tcW w:w="180" w:type="dxa"/>
            <w:tcBorders>
              <w:top w:val="nil"/>
              <w:left w:val="nil"/>
              <w:bottom w:val="single" w:sz="8" w:space="0" w:color="auto"/>
              <w:right w:val="single" w:sz="8" w:space="0" w:color="auto"/>
            </w:tcBorders>
            <w:shd w:val="clear" w:color="auto" w:fill="auto"/>
            <w:vAlign w:val="center"/>
            <w:hideMark/>
          </w:tcPr>
          <w:p w14:paraId="4D0C0BEB" w14:textId="77777777" w:rsidR="00A005B7" w:rsidRPr="00AA32FB" w:rsidRDefault="00A005B7" w:rsidP="000B616F">
            <w:pPr>
              <w:keepNext/>
              <w:keepLines/>
              <w:widowControl/>
              <w:autoSpaceDE/>
              <w:autoSpaceDN/>
              <w:adjustRightInd/>
              <w:jc w:val="center"/>
              <w:rPr>
                <w:color w:val="000000"/>
                <w:sz w:val="20"/>
                <w:szCs w:val="20"/>
              </w:rPr>
            </w:pPr>
            <w:r w:rsidRPr="00AA32FB">
              <w:rPr>
                <w:color w:val="000000"/>
                <w:sz w:val="20"/>
                <w:szCs w:val="20"/>
              </w:rPr>
              <w:t> </w:t>
            </w:r>
          </w:p>
        </w:tc>
      </w:tr>
      <w:tr w:rsidR="00A005B7" w:rsidRPr="00AA32FB" w14:paraId="62056464" w14:textId="77777777" w:rsidTr="000B616F">
        <w:trPr>
          <w:trHeight w:val="400"/>
          <w:jc w:val="center"/>
        </w:trPr>
        <w:tc>
          <w:tcPr>
            <w:tcW w:w="200" w:type="dxa"/>
            <w:tcBorders>
              <w:top w:val="nil"/>
              <w:left w:val="single" w:sz="8" w:space="0" w:color="auto"/>
              <w:bottom w:val="nil"/>
              <w:right w:val="nil"/>
            </w:tcBorders>
            <w:shd w:val="clear" w:color="auto" w:fill="auto"/>
            <w:noWrap/>
            <w:vAlign w:val="bottom"/>
            <w:hideMark/>
          </w:tcPr>
          <w:p w14:paraId="34740700"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623D4CDC"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Residential Service</w:t>
            </w:r>
          </w:p>
        </w:tc>
        <w:tc>
          <w:tcPr>
            <w:tcW w:w="1140" w:type="dxa"/>
            <w:tcBorders>
              <w:top w:val="single" w:sz="8" w:space="0" w:color="auto"/>
              <w:left w:val="single" w:sz="8" w:space="0" w:color="auto"/>
              <w:bottom w:val="nil"/>
              <w:right w:val="nil"/>
            </w:tcBorders>
            <w:shd w:val="clear" w:color="auto" w:fill="auto"/>
            <w:noWrap/>
            <w:vAlign w:val="bottom"/>
            <w:hideMark/>
          </w:tcPr>
          <w:p w14:paraId="64BA8729"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150,734 </w:t>
            </w:r>
          </w:p>
        </w:tc>
        <w:tc>
          <w:tcPr>
            <w:tcW w:w="1180" w:type="dxa"/>
            <w:tcBorders>
              <w:top w:val="single" w:sz="8" w:space="0" w:color="auto"/>
              <w:left w:val="nil"/>
              <w:bottom w:val="nil"/>
              <w:right w:val="nil"/>
            </w:tcBorders>
            <w:shd w:val="clear" w:color="auto" w:fill="auto"/>
            <w:noWrap/>
            <w:vAlign w:val="bottom"/>
            <w:hideMark/>
          </w:tcPr>
          <w:p w14:paraId="62E017AB"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40" w:type="dxa"/>
            <w:tcBorders>
              <w:top w:val="nil"/>
              <w:left w:val="nil"/>
              <w:bottom w:val="nil"/>
              <w:right w:val="single" w:sz="8" w:space="0" w:color="auto"/>
            </w:tcBorders>
            <w:shd w:val="clear" w:color="auto" w:fill="auto"/>
            <w:noWrap/>
            <w:vAlign w:val="bottom"/>
            <w:hideMark/>
          </w:tcPr>
          <w:p w14:paraId="49F8EAEA"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6D58ED25"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200" w:type="dxa"/>
            <w:tcBorders>
              <w:top w:val="nil"/>
              <w:left w:val="nil"/>
              <w:bottom w:val="nil"/>
              <w:right w:val="nil"/>
            </w:tcBorders>
            <w:shd w:val="clear" w:color="auto" w:fill="auto"/>
            <w:noWrap/>
            <w:vAlign w:val="bottom"/>
            <w:hideMark/>
          </w:tcPr>
          <w:p w14:paraId="078E91FE"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137,021 </w:t>
            </w:r>
          </w:p>
        </w:tc>
        <w:tc>
          <w:tcPr>
            <w:tcW w:w="180" w:type="dxa"/>
            <w:tcBorders>
              <w:top w:val="nil"/>
              <w:left w:val="nil"/>
              <w:bottom w:val="nil"/>
              <w:right w:val="single" w:sz="8" w:space="0" w:color="auto"/>
            </w:tcBorders>
            <w:shd w:val="clear" w:color="auto" w:fill="auto"/>
            <w:noWrap/>
            <w:vAlign w:val="bottom"/>
            <w:hideMark/>
          </w:tcPr>
          <w:p w14:paraId="03835FF8"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76A4E835"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03E92C1F"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234E41EF" w14:textId="77777777" w:rsidR="00A005B7" w:rsidRPr="00AA32FB" w:rsidRDefault="00A005B7" w:rsidP="000B616F">
            <w:pPr>
              <w:keepNext/>
              <w:keepLines/>
              <w:widowControl/>
              <w:autoSpaceDE/>
              <w:autoSpaceDN/>
              <w:adjustRightInd/>
              <w:rPr>
                <w:color w:val="000000"/>
                <w:sz w:val="20"/>
                <w:szCs w:val="20"/>
              </w:rPr>
            </w:pPr>
          </w:p>
        </w:tc>
        <w:tc>
          <w:tcPr>
            <w:tcW w:w="1140" w:type="dxa"/>
            <w:tcBorders>
              <w:top w:val="nil"/>
              <w:left w:val="single" w:sz="8" w:space="0" w:color="auto"/>
              <w:bottom w:val="nil"/>
              <w:right w:val="nil"/>
            </w:tcBorders>
            <w:shd w:val="clear" w:color="auto" w:fill="auto"/>
            <w:noWrap/>
            <w:vAlign w:val="bottom"/>
            <w:hideMark/>
          </w:tcPr>
          <w:p w14:paraId="0C4428CC"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2DDDCBB7" w14:textId="77777777" w:rsidR="00A005B7" w:rsidRPr="00AA32FB" w:rsidRDefault="00A005B7" w:rsidP="000B616F">
            <w:pPr>
              <w:keepNext/>
              <w:keepLines/>
              <w:widowControl/>
              <w:autoSpaceDE/>
              <w:autoSpaceDN/>
              <w:adjustRightInd/>
              <w:rPr>
                <w:color w:val="000000"/>
                <w:sz w:val="20"/>
                <w:szCs w:val="20"/>
              </w:rPr>
            </w:pPr>
          </w:p>
        </w:tc>
        <w:tc>
          <w:tcPr>
            <w:tcW w:w="140" w:type="dxa"/>
            <w:tcBorders>
              <w:top w:val="nil"/>
              <w:left w:val="nil"/>
              <w:bottom w:val="nil"/>
              <w:right w:val="single" w:sz="8" w:space="0" w:color="auto"/>
            </w:tcBorders>
            <w:shd w:val="clear" w:color="auto" w:fill="auto"/>
            <w:noWrap/>
            <w:vAlign w:val="bottom"/>
            <w:hideMark/>
          </w:tcPr>
          <w:p w14:paraId="30DCE866"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25CC5E62"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200" w:type="dxa"/>
            <w:tcBorders>
              <w:top w:val="nil"/>
              <w:left w:val="nil"/>
              <w:bottom w:val="nil"/>
              <w:right w:val="nil"/>
            </w:tcBorders>
            <w:shd w:val="clear" w:color="auto" w:fill="auto"/>
            <w:noWrap/>
            <w:vAlign w:val="bottom"/>
            <w:hideMark/>
          </w:tcPr>
          <w:p w14:paraId="2C4D9A76" w14:textId="77777777" w:rsidR="00A005B7" w:rsidRPr="00AA32FB" w:rsidRDefault="00A005B7" w:rsidP="000B616F">
            <w:pPr>
              <w:keepNext/>
              <w:keepLines/>
              <w:widowControl/>
              <w:autoSpaceDE/>
              <w:autoSpaceDN/>
              <w:adjustRightInd/>
              <w:rPr>
                <w:color w:val="000000"/>
                <w:sz w:val="20"/>
                <w:szCs w:val="20"/>
              </w:rPr>
            </w:pPr>
          </w:p>
        </w:tc>
        <w:tc>
          <w:tcPr>
            <w:tcW w:w="180" w:type="dxa"/>
            <w:tcBorders>
              <w:top w:val="nil"/>
              <w:left w:val="nil"/>
              <w:bottom w:val="nil"/>
              <w:right w:val="single" w:sz="8" w:space="0" w:color="auto"/>
            </w:tcBorders>
            <w:shd w:val="clear" w:color="auto" w:fill="auto"/>
            <w:noWrap/>
            <w:vAlign w:val="bottom"/>
            <w:hideMark/>
          </w:tcPr>
          <w:p w14:paraId="382B77EF"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3FFE90EC"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2F6D3809"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0C0B71A3" w14:textId="77777777" w:rsidR="00A005B7" w:rsidRPr="00AA32FB" w:rsidRDefault="00A005B7" w:rsidP="000B616F">
            <w:pPr>
              <w:keepNext/>
              <w:keepLines/>
              <w:widowControl/>
              <w:autoSpaceDE/>
              <w:autoSpaceDN/>
              <w:adjustRightInd/>
              <w:rPr>
                <w:color w:val="000000"/>
                <w:sz w:val="20"/>
                <w:szCs w:val="20"/>
              </w:rPr>
            </w:pPr>
            <w:r>
              <w:rPr>
                <w:color w:val="000000"/>
                <w:sz w:val="20"/>
                <w:szCs w:val="20"/>
              </w:rPr>
              <w:t>“No Shut Off”</w:t>
            </w:r>
            <w:r w:rsidRPr="00AA32FB">
              <w:rPr>
                <w:color w:val="000000"/>
                <w:sz w:val="20"/>
                <w:szCs w:val="20"/>
              </w:rPr>
              <w:t xml:space="preserve"> Code:</w:t>
            </w:r>
          </w:p>
        </w:tc>
        <w:tc>
          <w:tcPr>
            <w:tcW w:w="1140" w:type="dxa"/>
            <w:tcBorders>
              <w:top w:val="nil"/>
              <w:left w:val="single" w:sz="8" w:space="0" w:color="auto"/>
              <w:bottom w:val="nil"/>
              <w:right w:val="nil"/>
            </w:tcBorders>
            <w:shd w:val="clear" w:color="auto" w:fill="auto"/>
            <w:noWrap/>
            <w:vAlign w:val="bottom"/>
            <w:hideMark/>
          </w:tcPr>
          <w:p w14:paraId="2E132ED1"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9,583 </w:t>
            </w:r>
          </w:p>
        </w:tc>
        <w:tc>
          <w:tcPr>
            <w:tcW w:w="1180" w:type="dxa"/>
            <w:tcBorders>
              <w:top w:val="nil"/>
              <w:left w:val="nil"/>
              <w:bottom w:val="nil"/>
              <w:right w:val="nil"/>
            </w:tcBorders>
            <w:shd w:val="clear" w:color="auto" w:fill="auto"/>
            <w:noWrap/>
            <w:vAlign w:val="bottom"/>
            <w:hideMark/>
          </w:tcPr>
          <w:p w14:paraId="30F7CF09"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6%</w:t>
            </w:r>
          </w:p>
        </w:tc>
        <w:tc>
          <w:tcPr>
            <w:tcW w:w="140" w:type="dxa"/>
            <w:tcBorders>
              <w:top w:val="nil"/>
              <w:left w:val="nil"/>
              <w:bottom w:val="nil"/>
              <w:right w:val="single" w:sz="8" w:space="0" w:color="auto"/>
            </w:tcBorders>
            <w:shd w:val="clear" w:color="auto" w:fill="auto"/>
            <w:noWrap/>
            <w:vAlign w:val="bottom"/>
            <w:hideMark/>
          </w:tcPr>
          <w:p w14:paraId="2DCE4E35"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5E9B1B19"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11%</w:t>
            </w:r>
          </w:p>
        </w:tc>
        <w:tc>
          <w:tcPr>
            <w:tcW w:w="1200" w:type="dxa"/>
            <w:tcBorders>
              <w:top w:val="nil"/>
              <w:left w:val="nil"/>
              <w:bottom w:val="nil"/>
              <w:right w:val="nil"/>
            </w:tcBorders>
            <w:shd w:val="clear" w:color="auto" w:fill="auto"/>
            <w:noWrap/>
            <w:vAlign w:val="bottom"/>
            <w:hideMark/>
          </w:tcPr>
          <w:p w14:paraId="7F6B71BC"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15,265 </w:t>
            </w:r>
          </w:p>
        </w:tc>
        <w:tc>
          <w:tcPr>
            <w:tcW w:w="180" w:type="dxa"/>
            <w:tcBorders>
              <w:top w:val="nil"/>
              <w:left w:val="nil"/>
              <w:bottom w:val="nil"/>
              <w:right w:val="single" w:sz="8" w:space="0" w:color="auto"/>
            </w:tcBorders>
            <w:shd w:val="clear" w:color="auto" w:fill="auto"/>
            <w:noWrap/>
            <w:vAlign w:val="bottom"/>
            <w:hideMark/>
          </w:tcPr>
          <w:p w14:paraId="57F72977"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1F8DC580" w14:textId="77777777" w:rsidTr="000B616F">
        <w:trPr>
          <w:trHeight w:val="380"/>
          <w:jc w:val="center"/>
        </w:trPr>
        <w:tc>
          <w:tcPr>
            <w:tcW w:w="200" w:type="dxa"/>
            <w:tcBorders>
              <w:top w:val="nil"/>
              <w:left w:val="single" w:sz="8" w:space="0" w:color="auto"/>
              <w:bottom w:val="nil"/>
              <w:right w:val="nil"/>
            </w:tcBorders>
            <w:shd w:val="clear" w:color="auto" w:fill="auto"/>
            <w:noWrap/>
            <w:vAlign w:val="bottom"/>
            <w:hideMark/>
          </w:tcPr>
          <w:p w14:paraId="240A8DA5"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43E8B999"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Life Support</w:t>
            </w:r>
          </w:p>
        </w:tc>
        <w:tc>
          <w:tcPr>
            <w:tcW w:w="1140" w:type="dxa"/>
            <w:tcBorders>
              <w:top w:val="nil"/>
              <w:left w:val="single" w:sz="8" w:space="0" w:color="auto"/>
              <w:bottom w:val="nil"/>
              <w:right w:val="nil"/>
            </w:tcBorders>
            <w:shd w:val="clear" w:color="auto" w:fill="auto"/>
            <w:noWrap/>
            <w:vAlign w:val="bottom"/>
            <w:hideMark/>
          </w:tcPr>
          <w:p w14:paraId="5225076F"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1,248 </w:t>
            </w:r>
          </w:p>
        </w:tc>
        <w:tc>
          <w:tcPr>
            <w:tcW w:w="1180" w:type="dxa"/>
            <w:tcBorders>
              <w:top w:val="nil"/>
              <w:left w:val="nil"/>
              <w:bottom w:val="nil"/>
              <w:right w:val="nil"/>
            </w:tcBorders>
            <w:shd w:val="clear" w:color="auto" w:fill="auto"/>
            <w:noWrap/>
            <w:vAlign w:val="bottom"/>
            <w:hideMark/>
          </w:tcPr>
          <w:p w14:paraId="719B19E5"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0.83%</w:t>
            </w:r>
          </w:p>
        </w:tc>
        <w:tc>
          <w:tcPr>
            <w:tcW w:w="140" w:type="dxa"/>
            <w:tcBorders>
              <w:top w:val="nil"/>
              <w:left w:val="nil"/>
              <w:bottom w:val="nil"/>
              <w:right w:val="single" w:sz="8" w:space="0" w:color="auto"/>
            </w:tcBorders>
            <w:shd w:val="clear" w:color="auto" w:fill="auto"/>
            <w:noWrap/>
            <w:vAlign w:val="bottom"/>
            <w:hideMark/>
          </w:tcPr>
          <w:p w14:paraId="663D4799"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57F09784"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1.32%</w:t>
            </w:r>
          </w:p>
        </w:tc>
        <w:tc>
          <w:tcPr>
            <w:tcW w:w="1200" w:type="dxa"/>
            <w:tcBorders>
              <w:top w:val="nil"/>
              <w:left w:val="nil"/>
              <w:bottom w:val="nil"/>
              <w:right w:val="nil"/>
            </w:tcBorders>
            <w:shd w:val="clear" w:color="auto" w:fill="auto"/>
            <w:noWrap/>
            <w:vAlign w:val="bottom"/>
            <w:hideMark/>
          </w:tcPr>
          <w:p w14:paraId="43F1821D"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1,815 </w:t>
            </w:r>
          </w:p>
        </w:tc>
        <w:tc>
          <w:tcPr>
            <w:tcW w:w="180" w:type="dxa"/>
            <w:tcBorders>
              <w:top w:val="nil"/>
              <w:left w:val="nil"/>
              <w:bottom w:val="nil"/>
              <w:right w:val="single" w:sz="8" w:space="0" w:color="auto"/>
            </w:tcBorders>
            <w:shd w:val="clear" w:color="auto" w:fill="auto"/>
            <w:noWrap/>
            <w:vAlign w:val="bottom"/>
            <w:hideMark/>
          </w:tcPr>
          <w:p w14:paraId="2319603D"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0E718B38"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1CDE81F7"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1F2C98A1"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Life Threatening </w:t>
            </w:r>
          </w:p>
        </w:tc>
        <w:tc>
          <w:tcPr>
            <w:tcW w:w="1140" w:type="dxa"/>
            <w:tcBorders>
              <w:top w:val="nil"/>
              <w:left w:val="single" w:sz="8" w:space="0" w:color="auto"/>
              <w:bottom w:val="nil"/>
              <w:right w:val="nil"/>
            </w:tcBorders>
            <w:shd w:val="clear" w:color="auto" w:fill="auto"/>
            <w:noWrap/>
            <w:vAlign w:val="bottom"/>
            <w:hideMark/>
          </w:tcPr>
          <w:p w14:paraId="0CE81F4D"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787 </w:t>
            </w:r>
          </w:p>
        </w:tc>
        <w:tc>
          <w:tcPr>
            <w:tcW w:w="1180" w:type="dxa"/>
            <w:tcBorders>
              <w:top w:val="nil"/>
              <w:left w:val="nil"/>
              <w:bottom w:val="nil"/>
              <w:right w:val="nil"/>
            </w:tcBorders>
            <w:shd w:val="clear" w:color="auto" w:fill="auto"/>
            <w:noWrap/>
            <w:vAlign w:val="bottom"/>
            <w:hideMark/>
          </w:tcPr>
          <w:p w14:paraId="40057309"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0.52%</w:t>
            </w:r>
          </w:p>
        </w:tc>
        <w:tc>
          <w:tcPr>
            <w:tcW w:w="140" w:type="dxa"/>
            <w:tcBorders>
              <w:top w:val="nil"/>
              <w:left w:val="nil"/>
              <w:bottom w:val="nil"/>
              <w:right w:val="single" w:sz="8" w:space="0" w:color="auto"/>
            </w:tcBorders>
            <w:shd w:val="clear" w:color="auto" w:fill="auto"/>
            <w:noWrap/>
            <w:vAlign w:val="bottom"/>
            <w:hideMark/>
          </w:tcPr>
          <w:p w14:paraId="2C1B049A"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238C43BD"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0.84%</w:t>
            </w:r>
          </w:p>
        </w:tc>
        <w:tc>
          <w:tcPr>
            <w:tcW w:w="1200" w:type="dxa"/>
            <w:tcBorders>
              <w:top w:val="nil"/>
              <w:left w:val="nil"/>
              <w:bottom w:val="nil"/>
              <w:right w:val="nil"/>
            </w:tcBorders>
            <w:shd w:val="clear" w:color="auto" w:fill="auto"/>
            <w:noWrap/>
            <w:vAlign w:val="bottom"/>
            <w:hideMark/>
          </w:tcPr>
          <w:p w14:paraId="570F818D"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1,156 </w:t>
            </w:r>
          </w:p>
        </w:tc>
        <w:tc>
          <w:tcPr>
            <w:tcW w:w="180" w:type="dxa"/>
            <w:tcBorders>
              <w:top w:val="nil"/>
              <w:left w:val="nil"/>
              <w:bottom w:val="nil"/>
              <w:right w:val="single" w:sz="8" w:space="0" w:color="auto"/>
            </w:tcBorders>
            <w:shd w:val="clear" w:color="auto" w:fill="auto"/>
            <w:noWrap/>
            <w:vAlign w:val="bottom"/>
            <w:hideMark/>
          </w:tcPr>
          <w:p w14:paraId="08E9DA8A"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43C2929A"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34F6A7D4"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75914A9A"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Military</w:t>
            </w:r>
          </w:p>
        </w:tc>
        <w:tc>
          <w:tcPr>
            <w:tcW w:w="1140" w:type="dxa"/>
            <w:tcBorders>
              <w:top w:val="nil"/>
              <w:left w:val="single" w:sz="8" w:space="0" w:color="auto"/>
              <w:bottom w:val="nil"/>
              <w:right w:val="nil"/>
            </w:tcBorders>
            <w:shd w:val="clear" w:color="auto" w:fill="auto"/>
            <w:noWrap/>
            <w:vAlign w:val="bottom"/>
            <w:hideMark/>
          </w:tcPr>
          <w:p w14:paraId="61E7E6EF"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 </w:t>
            </w:r>
          </w:p>
        </w:tc>
        <w:tc>
          <w:tcPr>
            <w:tcW w:w="1180" w:type="dxa"/>
            <w:tcBorders>
              <w:top w:val="nil"/>
              <w:left w:val="nil"/>
              <w:bottom w:val="nil"/>
              <w:right w:val="nil"/>
            </w:tcBorders>
            <w:shd w:val="clear" w:color="auto" w:fill="auto"/>
            <w:noWrap/>
            <w:vAlign w:val="bottom"/>
            <w:hideMark/>
          </w:tcPr>
          <w:p w14:paraId="18935BBB"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0.001%</w:t>
            </w:r>
          </w:p>
        </w:tc>
        <w:tc>
          <w:tcPr>
            <w:tcW w:w="140" w:type="dxa"/>
            <w:tcBorders>
              <w:top w:val="nil"/>
              <w:left w:val="nil"/>
              <w:bottom w:val="nil"/>
              <w:right w:val="single" w:sz="8" w:space="0" w:color="auto"/>
            </w:tcBorders>
            <w:shd w:val="clear" w:color="auto" w:fill="auto"/>
            <w:noWrap/>
            <w:vAlign w:val="bottom"/>
            <w:hideMark/>
          </w:tcPr>
          <w:p w14:paraId="6832E6E7"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03D1212F" w14:textId="77777777" w:rsidR="00A005B7" w:rsidRPr="00AA32FB" w:rsidRDefault="00A005B7" w:rsidP="000B616F">
            <w:pPr>
              <w:keepNext/>
              <w:keepLines/>
              <w:widowControl/>
              <w:autoSpaceDE/>
              <w:autoSpaceDN/>
              <w:adjustRightInd/>
              <w:ind w:firstLine="600"/>
              <w:rPr>
                <w:color w:val="000000"/>
                <w:sz w:val="20"/>
                <w:szCs w:val="20"/>
              </w:rPr>
            </w:pPr>
            <w:r w:rsidRPr="00AA32FB">
              <w:rPr>
                <w:color w:val="000000"/>
                <w:sz w:val="20"/>
                <w:szCs w:val="20"/>
              </w:rPr>
              <w:t>-</w:t>
            </w:r>
          </w:p>
        </w:tc>
        <w:tc>
          <w:tcPr>
            <w:tcW w:w="1200" w:type="dxa"/>
            <w:tcBorders>
              <w:top w:val="nil"/>
              <w:left w:val="nil"/>
              <w:bottom w:val="nil"/>
              <w:right w:val="nil"/>
            </w:tcBorders>
            <w:shd w:val="clear" w:color="auto" w:fill="auto"/>
            <w:noWrap/>
            <w:vAlign w:val="bottom"/>
            <w:hideMark/>
          </w:tcPr>
          <w:p w14:paraId="08F2C5D2"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   </w:t>
            </w:r>
          </w:p>
        </w:tc>
        <w:tc>
          <w:tcPr>
            <w:tcW w:w="180" w:type="dxa"/>
            <w:tcBorders>
              <w:top w:val="nil"/>
              <w:left w:val="nil"/>
              <w:bottom w:val="nil"/>
              <w:right w:val="single" w:sz="8" w:space="0" w:color="auto"/>
            </w:tcBorders>
            <w:shd w:val="clear" w:color="auto" w:fill="auto"/>
            <w:noWrap/>
            <w:vAlign w:val="bottom"/>
            <w:hideMark/>
          </w:tcPr>
          <w:p w14:paraId="649BB02D"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7BED5922"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1A7EF923"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1428695E"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Protected </w:t>
            </w:r>
            <w:r w:rsidR="003869FC">
              <w:rPr>
                <w:color w:val="000000"/>
                <w:sz w:val="20"/>
                <w:szCs w:val="20"/>
              </w:rPr>
              <w:t>–</w:t>
            </w:r>
            <w:r w:rsidRPr="00AA32FB">
              <w:rPr>
                <w:color w:val="000000"/>
                <w:sz w:val="20"/>
                <w:szCs w:val="20"/>
              </w:rPr>
              <w:t xml:space="preserve"> Illness</w:t>
            </w:r>
          </w:p>
        </w:tc>
        <w:tc>
          <w:tcPr>
            <w:tcW w:w="1140" w:type="dxa"/>
            <w:tcBorders>
              <w:top w:val="nil"/>
              <w:left w:val="single" w:sz="8" w:space="0" w:color="auto"/>
              <w:bottom w:val="nil"/>
              <w:right w:val="nil"/>
            </w:tcBorders>
            <w:shd w:val="clear" w:color="auto" w:fill="auto"/>
            <w:noWrap/>
            <w:vAlign w:val="bottom"/>
            <w:hideMark/>
          </w:tcPr>
          <w:p w14:paraId="6D5EF0B8"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394 </w:t>
            </w:r>
          </w:p>
        </w:tc>
        <w:tc>
          <w:tcPr>
            <w:tcW w:w="1180" w:type="dxa"/>
            <w:tcBorders>
              <w:top w:val="nil"/>
              <w:left w:val="nil"/>
              <w:bottom w:val="nil"/>
              <w:right w:val="nil"/>
            </w:tcBorders>
            <w:shd w:val="clear" w:color="auto" w:fill="auto"/>
            <w:noWrap/>
            <w:vAlign w:val="bottom"/>
            <w:hideMark/>
          </w:tcPr>
          <w:p w14:paraId="6E45BE2C"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0.26%</w:t>
            </w:r>
          </w:p>
        </w:tc>
        <w:tc>
          <w:tcPr>
            <w:tcW w:w="140" w:type="dxa"/>
            <w:tcBorders>
              <w:top w:val="nil"/>
              <w:left w:val="nil"/>
              <w:bottom w:val="nil"/>
              <w:right w:val="single" w:sz="8" w:space="0" w:color="auto"/>
            </w:tcBorders>
            <w:shd w:val="clear" w:color="auto" w:fill="auto"/>
            <w:noWrap/>
            <w:vAlign w:val="bottom"/>
            <w:hideMark/>
          </w:tcPr>
          <w:p w14:paraId="049D9D97"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2DB36A38"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0.41%</w:t>
            </w:r>
          </w:p>
        </w:tc>
        <w:tc>
          <w:tcPr>
            <w:tcW w:w="1200" w:type="dxa"/>
            <w:tcBorders>
              <w:top w:val="nil"/>
              <w:left w:val="nil"/>
              <w:bottom w:val="nil"/>
              <w:right w:val="nil"/>
            </w:tcBorders>
            <w:shd w:val="clear" w:color="auto" w:fill="auto"/>
            <w:noWrap/>
            <w:vAlign w:val="bottom"/>
            <w:hideMark/>
          </w:tcPr>
          <w:p w14:paraId="56FEC14E"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564 </w:t>
            </w:r>
          </w:p>
        </w:tc>
        <w:tc>
          <w:tcPr>
            <w:tcW w:w="180" w:type="dxa"/>
            <w:tcBorders>
              <w:top w:val="nil"/>
              <w:left w:val="nil"/>
              <w:bottom w:val="nil"/>
              <w:right w:val="single" w:sz="8" w:space="0" w:color="auto"/>
            </w:tcBorders>
            <w:shd w:val="clear" w:color="auto" w:fill="auto"/>
            <w:noWrap/>
            <w:vAlign w:val="bottom"/>
            <w:hideMark/>
          </w:tcPr>
          <w:p w14:paraId="064ABACF"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254657D4"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5B81678F"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0E6EBCAF"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Winter Protected </w:t>
            </w:r>
            <w:r w:rsidR="003869FC">
              <w:rPr>
                <w:color w:val="000000"/>
                <w:sz w:val="20"/>
                <w:szCs w:val="20"/>
              </w:rPr>
              <w:t>–</w:t>
            </w:r>
            <w:r w:rsidRPr="00AA32FB">
              <w:rPr>
                <w:color w:val="000000"/>
                <w:sz w:val="20"/>
                <w:szCs w:val="20"/>
              </w:rPr>
              <w:t xml:space="preserve"> AFDC</w:t>
            </w:r>
          </w:p>
        </w:tc>
        <w:tc>
          <w:tcPr>
            <w:tcW w:w="1140" w:type="dxa"/>
            <w:tcBorders>
              <w:top w:val="nil"/>
              <w:left w:val="single" w:sz="8" w:space="0" w:color="auto"/>
              <w:bottom w:val="nil"/>
              <w:right w:val="nil"/>
            </w:tcBorders>
            <w:shd w:val="clear" w:color="auto" w:fill="auto"/>
            <w:noWrap/>
            <w:vAlign w:val="bottom"/>
            <w:hideMark/>
          </w:tcPr>
          <w:p w14:paraId="49492FFC"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213 </w:t>
            </w:r>
          </w:p>
        </w:tc>
        <w:tc>
          <w:tcPr>
            <w:tcW w:w="1180" w:type="dxa"/>
            <w:tcBorders>
              <w:top w:val="nil"/>
              <w:left w:val="nil"/>
              <w:bottom w:val="nil"/>
              <w:right w:val="nil"/>
            </w:tcBorders>
            <w:shd w:val="clear" w:color="auto" w:fill="auto"/>
            <w:noWrap/>
            <w:vAlign w:val="bottom"/>
            <w:hideMark/>
          </w:tcPr>
          <w:p w14:paraId="17C2A90C"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0.14%</w:t>
            </w:r>
          </w:p>
        </w:tc>
        <w:tc>
          <w:tcPr>
            <w:tcW w:w="140" w:type="dxa"/>
            <w:tcBorders>
              <w:top w:val="nil"/>
              <w:left w:val="nil"/>
              <w:bottom w:val="nil"/>
              <w:right w:val="single" w:sz="8" w:space="0" w:color="auto"/>
            </w:tcBorders>
            <w:shd w:val="clear" w:color="auto" w:fill="auto"/>
            <w:noWrap/>
            <w:vAlign w:val="bottom"/>
            <w:hideMark/>
          </w:tcPr>
          <w:p w14:paraId="21DBE450"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0BD29853"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0.22%</w:t>
            </w:r>
          </w:p>
        </w:tc>
        <w:tc>
          <w:tcPr>
            <w:tcW w:w="1200" w:type="dxa"/>
            <w:tcBorders>
              <w:top w:val="nil"/>
              <w:left w:val="nil"/>
              <w:bottom w:val="nil"/>
              <w:right w:val="nil"/>
            </w:tcBorders>
            <w:shd w:val="clear" w:color="auto" w:fill="auto"/>
            <w:noWrap/>
            <w:vAlign w:val="bottom"/>
            <w:hideMark/>
          </w:tcPr>
          <w:p w14:paraId="292A51AA"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307 </w:t>
            </w:r>
          </w:p>
        </w:tc>
        <w:tc>
          <w:tcPr>
            <w:tcW w:w="180" w:type="dxa"/>
            <w:tcBorders>
              <w:top w:val="nil"/>
              <w:left w:val="nil"/>
              <w:bottom w:val="nil"/>
              <w:right w:val="single" w:sz="8" w:space="0" w:color="auto"/>
            </w:tcBorders>
            <w:shd w:val="clear" w:color="auto" w:fill="auto"/>
            <w:noWrap/>
            <w:vAlign w:val="bottom"/>
            <w:hideMark/>
          </w:tcPr>
          <w:p w14:paraId="578BB25C"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0E82756D"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16A422C8"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31D70010"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Winter Protected </w:t>
            </w:r>
            <w:r w:rsidR="003869FC">
              <w:rPr>
                <w:color w:val="000000"/>
                <w:sz w:val="20"/>
                <w:szCs w:val="20"/>
              </w:rPr>
              <w:t>–</w:t>
            </w:r>
            <w:r w:rsidRPr="00AA32FB">
              <w:rPr>
                <w:color w:val="000000"/>
                <w:sz w:val="20"/>
                <w:szCs w:val="20"/>
              </w:rPr>
              <w:t xml:space="preserve"> Disabled</w:t>
            </w:r>
          </w:p>
        </w:tc>
        <w:tc>
          <w:tcPr>
            <w:tcW w:w="1140" w:type="dxa"/>
            <w:tcBorders>
              <w:top w:val="nil"/>
              <w:left w:val="single" w:sz="8" w:space="0" w:color="auto"/>
              <w:bottom w:val="nil"/>
              <w:right w:val="nil"/>
            </w:tcBorders>
            <w:shd w:val="clear" w:color="auto" w:fill="auto"/>
            <w:noWrap/>
            <w:vAlign w:val="bottom"/>
            <w:hideMark/>
          </w:tcPr>
          <w:p w14:paraId="202A4280"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4 </w:t>
            </w:r>
          </w:p>
        </w:tc>
        <w:tc>
          <w:tcPr>
            <w:tcW w:w="1180" w:type="dxa"/>
            <w:tcBorders>
              <w:top w:val="nil"/>
              <w:left w:val="nil"/>
              <w:bottom w:val="nil"/>
              <w:right w:val="nil"/>
            </w:tcBorders>
            <w:shd w:val="clear" w:color="auto" w:fill="auto"/>
            <w:noWrap/>
            <w:vAlign w:val="bottom"/>
            <w:hideMark/>
          </w:tcPr>
          <w:p w14:paraId="1045F66E"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0.003%</w:t>
            </w:r>
          </w:p>
        </w:tc>
        <w:tc>
          <w:tcPr>
            <w:tcW w:w="140" w:type="dxa"/>
            <w:tcBorders>
              <w:top w:val="nil"/>
              <w:left w:val="nil"/>
              <w:bottom w:val="nil"/>
              <w:right w:val="single" w:sz="8" w:space="0" w:color="auto"/>
            </w:tcBorders>
            <w:shd w:val="clear" w:color="auto" w:fill="auto"/>
            <w:noWrap/>
            <w:vAlign w:val="bottom"/>
            <w:hideMark/>
          </w:tcPr>
          <w:p w14:paraId="670B89D7"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40B3D991"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0.003%</w:t>
            </w:r>
          </w:p>
        </w:tc>
        <w:tc>
          <w:tcPr>
            <w:tcW w:w="1200" w:type="dxa"/>
            <w:tcBorders>
              <w:top w:val="nil"/>
              <w:left w:val="nil"/>
              <w:bottom w:val="nil"/>
              <w:right w:val="nil"/>
            </w:tcBorders>
            <w:shd w:val="clear" w:color="auto" w:fill="auto"/>
            <w:noWrap/>
            <w:vAlign w:val="bottom"/>
            <w:hideMark/>
          </w:tcPr>
          <w:p w14:paraId="4EAE6F0F"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4 </w:t>
            </w:r>
          </w:p>
        </w:tc>
        <w:tc>
          <w:tcPr>
            <w:tcW w:w="180" w:type="dxa"/>
            <w:tcBorders>
              <w:top w:val="nil"/>
              <w:left w:val="nil"/>
              <w:bottom w:val="nil"/>
              <w:right w:val="single" w:sz="8" w:space="0" w:color="auto"/>
            </w:tcBorders>
            <w:shd w:val="clear" w:color="auto" w:fill="auto"/>
            <w:noWrap/>
            <w:vAlign w:val="bottom"/>
            <w:hideMark/>
          </w:tcPr>
          <w:p w14:paraId="14E7750F"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3E617847"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3DDF9A2F"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462AD0C5"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Winter Protected - </w:t>
            </w:r>
            <w:r w:rsidR="00E54ADF">
              <w:rPr>
                <w:color w:val="000000"/>
                <w:sz w:val="20"/>
                <w:szCs w:val="20"/>
              </w:rPr>
              <w:t>Senior</w:t>
            </w:r>
            <w:r w:rsidRPr="00AA32FB">
              <w:rPr>
                <w:color w:val="000000"/>
                <w:sz w:val="20"/>
                <w:szCs w:val="20"/>
              </w:rPr>
              <w:t xml:space="preserve"> </w:t>
            </w:r>
          </w:p>
        </w:tc>
        <w:tc>
          <w:tcPr>
            <w:tcW w:w="1140" w:type="dxa"/>
            <w:tcBorders>
              <w:top w:val="nil"/>
              <w:left w:val="single" w:sz="8" w:space="0" w:color="auto"/>
              <w:bottom w:val="nil"/>
              <w:right w:val="nil"/>
            </w:tcBorders>
            <w:shd w:val="clear" w:color="auto" w:fill="auto"/>
            <w:noWrap/>
            <w:vAlign w:val="bottom"/>
            <w:hideMark/>
          </w:tcPr>
          <w:p w14:paraId="7397EB48"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5 </w:t>
            </w:r>
          </w:p>
        </w:tc>
        <w:tc>
          <w:tcPr>
            <w:tcW w:w="1180" w:type="dxa"/>
            <w:tcBorders>
              <w:top w:val="nil"/>
              <w:left w:val="nil"/>
              <w:bottom w:val="nil"/>
              <w:right w:val="nil"/>
            </w:tcBorders>
            <w:shd w:val="clear" w:color="auto" w:fill="auto"/>
            <w:noWrap/>
            <w:vAlign w:val="bottom"/>
            <w:hideMark/>
          </w:tcPr>
          <w:p w14:paraId="262A2191"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0.003%</w:t>
            </w:r>
          </w:p>
        </w:tc>
        <w:tc>
          <w:tcPr>
            <w:tcW w:w="140" w:type="dxa"/>
            <w:tcBorders>
              <w:top w:val="nil"/>
              <w:left w:val="nil"/>
              <w:bottom w:val="nil"/>
              <w:right w:val="single" w:sz="8" w:space="0" w:color="auto"/>
            </w:tcBorders>
            <w:shd w:val="clear" w:color="auto" w:fill="auto"/>
            <w:noWrap/>
            <w:vAlign w:val="bottom"/>
            <w:hideMark/>
          </w:tcPr>
          <w:p w14:paraId="39568D9F"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4883CD5A"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0.01%</w:t>
            </w:r>
          </w:p>
        </w:tc>
        <w:tc>
          <w:tcPr>
            <w:tcW w:w="1200" w:type="dxa"/>
            <w:tcBorders>
              <w:top w:val="nil"/>
              <w:left w:val="nil"/>
              <w:bottom w:val="nil"/>
              <w:right w:val="nil"/>
            </w:tcBorders>
            <w:shd w:val="clear" w:color="auto" w:fill="auto"/>
            <w:noWrap/>
            <w:vAlign w:val="bottom"/>
            <w:hideMark/>
          </w:tcPr>
          <w:p w14:paraId="0369BF34"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7 </w:t>
            </w:r>
          </w:p>
        </w:tc>
        <w:tc>
          <w:tcPr>
            <w:tcW w:w="180" w:type="dxa"/>
            <w:tcBorders>
              <w:top w:val="nil"/>
              <w:left w:val="nil"/>
              <w:bottom w:val="nil"/>
              <w:right w:val="single" w:sz="8" w:space="0" w:color="auto"/>
            </w:tcBorders>
            <w:shd w:val="clear" w:color="auto" w:fill="auto"/>
            <w:noWrap/>
            <w:vAlign w:val="bottom"/>
            <w:hideMark/>
          </w:tcPr>
          <w:p w14:paraId="0AD8E8A3"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1069855C"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3C500513"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64DF761A"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Winter Protected - Gen. Assist</w:t>
            </w:r>
          </w:p>
        </w:tc>
        <w:tc>
          <w:tcPr>
            <w:tcW w:w="1140" w:type="dxa"/>
            <w:tcBorders>
              <w:top w:val="nil"/>
              <w:left w:val="single" w:sz="8" w:space="0" w:color="auto"/>
              <w:bottom w:val="nil"/>
              <w:right w:val="nil"/>
            </w:tcBorders>
            <w:shd w:val="clear" w:color="auto" w:fill="auto"/>
            <w:noWrap/>
            <w:vAlign w:val="bottom"/>
            <w:hideMark/>
          </w:tcPr>
          <w:p w14:paraId="6BC2B93B"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99 </w:t>
            </w:r>
          </w:p>
        </w:tc>
        <w:tc>
          <w:tcPr>
            <w:tcW w:w="1180" w:type="dxa"/>
            <w:tcBorders>
              <w:top w:val="nil"/>
              <w:left w:val="nil"/>
              <w:bottom w:val="nil"/>
              <w:right w:val="nil"/>
            </w:tcBorders>
            <w:shd w:val="clear" w:color="auto" w:fill="auto"/>
            <w:noWrap/>
            <w:vAlign w:val="bottom"/>
            <w:hideMark/>
          </w:tcPr>
          <w:p w14:paraId="2848FAF4"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0.07%</w:t>
            </w:r>
          </w:p>
        </w:tc>
        <w:tc>
          <w:tcPr>
            <w:tcW w:w="140" w:type="dxa"/>
            <w:tcBorders>
              <w:top w:val="nil"/>
              <w:left w:val="nil"/>
              <w:bottom w:val="nil"/>
              <w:right w:val="single" w:sz="8" w:space="0" w:color="auto"/>
            </w:tcBorders>
            <w:shd w:val="clear" w:color="auto" w:fill="auto"/>
            <w:noWrap/>
            <w:vAlign w:val="bottom"/>
            <w:hideMark/>
          </w:tcPr>
          <w:p w14:paraId="12D0397C"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593A1187"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0.11%</w:t>
            </w:r>
          </w:p>
        </w:tc>
        <w:tc>
          <w:tcPr>
            <w:tcW w:w="1200" w:type="dxa"/>
            <w:tcBorders>
              <w:top w:val="nil"/>
              <w:left w:val="nil"/>
              <w:bottom w:val="nil"/>
              <w:right w:val="nil"/>
            </w:tcBorders>
            <w:shd w:val="clear" w:color="auto" w:fill="auto"/>
            <w:noWrap/>
            <w:vAlign w:val="bottom"/>
            <w:hideMark/>
          </w:tcPr>
          <w:p w14:paraId="23BF4CD3"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156 </w:t>
            </w:r>
          </w:p>
        </w:tc>
        <w:tc>
          <w:tcPr>
            <w:tcW w:w="180" w:type="dxa"/>
            <w:tcBorders>
              <w:top w:val="nil"/>
              <w:left w:val="nil"/>
              <w:bottom w:val="nil"/>
              <w:right w:val="single" w:sz="8" w:space="0" w:color="auto"/>
            </w:tcBorders>
            <w:shd w:val="clear" w:color="auto" w:fill="auto"/>
            <w:noWrap/>
            <w:vAlign w:val="bottom"/>
            <w:hideMark/>
          </w:tcPr>
          <w:p w14:paraId="7CF2F9E3"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51C2C522"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3B2DD2B2"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67F8B9F3"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Winter Protected - Hardship </w:t>
            </w:r>
          </w:p>
        </w:tc>
        <w:tc>
          <w:tcPr>
            <w:tcW w:w="1140" w:type="dxa"/>
            <w:tcBorders>
              <w:top w:val="nil"/>
              <w:left w:val="single" w:sz="8" w:space="0" w:color="auto"/>
              <w:bottom w:val="nil"/>
              <w:right w:val="nil"/>
            </w:tcBorders>
            <w:shd w:val="clear" w:color="auto" w:fill="auto"/>
            <w:noWrap/>
            <w:vAlign w:val="bottom"/>
            <w:hideMark/>
          </w:tcPr>
          <w:p w14:paraId="4C027D76"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6,719 </w:t>
            </w:r>
          </w:p>
        </w:tc>
        <w:tc>
          <w:tcPr>
            <w:tcW w:w="1180" w:type="dxa"/>
            <w:tcBorders>
              <w:top w:val="nil"/>
              <w:left w:val="nil"/>
              <w:bottom w:val="nil"/>
              <w:right w:val="nil"/>
            </w:tcBorders>
            <w:shd w:val="clear" w:color="auto" w:fill="auto"/>
            <w:noWrap/>
            <w:vAlign w:val="bottom"/>
            <w:hideMark/>
          </w:tcPr>
          <w:p w14:paraId="1693FE12"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4.46%</w:t>
            </w:r>
          </w:p>
        </w:tc>
        <w:tc>
          <w:tcPr>
            <w:tcW w:w="140" w:type="dxa"/>
            <w:tcBorders>
              <w:top w:val="nil"/>
              <w:left w:val="nil"/>
              <w:bottom w:val="nil"/>
              <w:right w:val="single" w:sz="8" w:space="0" w:color="auto"/>
            </w:tcBorders>
            <w:shd w:val="clear" w:color="auto" w:fill="auto"/>
            <w:noWrap/>
            <w:vAlign w:val="bottom"/>
            <w:hideMark/>
          </w:tcPr>
          <w:p w14:paraId="4686C916"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3BDD34F2"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8.10%</w:t>
            </w:r>
          </w:p>
        </w:tc>
        <w:tc>
          <w:tcPr>
            <w:tcW w:w="1200" w:type="dxa"/>
            <w:tcBorders>
              <w:top w:val="nil"/>
              <w:left w:val="nil"/>
              <w:bottom w:val="nil"/>
              <w:right w:val="nil"/>
            </w:tcBorders>
            <w:shd w:val="clear" w:color="auto" w:fill="auto"/>
            <w:noWrap/>
            <w:vAlign w:val="bottom"/>
            <w:hideMark/>
          </w:tcPr>
          <w:p w14:paraId="30450D98"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11,099 </w:t>
            </w:r>
          </w:p>
        </w:tc>
        <w:tc>
          <w:tcPr>
            <w:tcW w:w="180" w:type="dxa"/>
            <w:tcBorders>
              <w:top w:val="nil"/>
              <w:left w:val="nil"/>
              <w:bottom w:val="nil"/>
              <w:right w:val="single" w:sz="8" w:space="0" w:color="auto"/>
            </w:tcBorders>
            <w:shd w:val="clear" w:color="auto" w:fill="auto"/>
            <w:noWrap/>
            <w:vAlign w:val="bottom"/>
            <w:hideMark/>
          </w:tcPr>
          <w:p w14:paraId="6427465A"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376B0760"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38118C68"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14445092"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Winter Protected </w:t>
            </w:r>
            <w:r w:rsidR="000226D5">
              <w:rPr>
                <w:color w:val="000000"/>
                <w:sz w:val="20"/>
                <w:szCs w:val="20"/>
              </w:rPr>
              <w:t>–</w:t>
            </w:r>
            <w:r w:rsidRPr="00AA32FB">
              <w:rPr>
                <w:color w:val="000000"/>
                <w:sz w:val="20"/>
                <w:szCs w:val="20"/>
              </w:rPr>
              <w:t xml:space="preserve"> Other</w:t>
            </w:r>
          </w:p>
        </w:tc>
        <w:tc>
          <w:tcPr>
            <w:tcW w:w="1140" w:type="dxa"/>
            <w:tcBorders>
              <w:top w:val="nil"/>
              <w:left w:val="single" w:sz="8" w:space="0" w:color="auto"/>
              <w:bottom w:val="nil"/>
              <w:right w:val="nil"/>
            </w:tcBorders>
            <w:shd w:val="clear" w:color="auto" w:fill="auto"/>
            <w:noWrap/>
            <w:vAlign w:val="bottom"/>
            <w:hideMark/>
          </w:tcPr>
          <w:p w14:paraId="1BD39BE7"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 </w:t>
            </w:r>
          </w:p>
        </w:tc>
        <w:tc>
          <w:tcPr>
            <w:tcW w:w="1180" w:type="dxa"/>
            <w:tcBorders>
              <w:top w:val="nil"/>
              <w:left w:val="nil"/>
              <w:bottom w:val="nil"/>
              <w:right w:val="nil"/>
            </w:tcBorders>
            <w:shd w:val="clear" w:color="auto" w:fill="auto"/>
            <w:noWrap/>
            <w:vAlign w:val="bottom"/>
            <w:hideMark/>
          </w:tcPr>
          <w:p w14:paraId="20109C80"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0.001%</w:t>
            </w:r>
          </w:p>
        </w:tc>
        <w:tc>
          <w:tcPr>
            <w:tcW w:w="140" w:type="dxa"/>
            <w:tcBorders>
              <w:top w:val="nil"/>
              <w:left w:val="nil"/>
              <w:bottom w:val="nil"/>
              <w:right w:val="single" w:sz="8" w:space="0" w:color="auto"/>
            </w:tcBorders>
            <w:shd w:val="clear" w:color="auto" w:fill="auto"/>
            <w:noWrap/>
            <w:vAlign w:val="bottom"/>
            <w:hideMark/>
          </w:tcPr>
          <w:p w14:paraId="38509B17"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075A8ADD"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0.004%</w:t>
            </w:r>
          </w:p>
        </w:tc>
        <w:tc>
          <w:tcPr>
            <w:tcW w:w="1200" w:type="dxa"/>
            <w:tcBorders>
              <w:top w:val="nil"/>
              <w:left w:val="nil"/>
              <w:bottom w:val="nil"/>
              <w:right w:val="nil"/>
            </w:tcBorders>
            <w:shd w:val="clear" w:color="auto" w:fill="auto"/>
            <w:noWrap/>
            <w:vAlign w:val="bottom"/>
            <w:hideMark/>
          </w:tcPr>
          <w:p w14:paraId="378DFB08"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5 </w:t>
            </w:r>
          </w:p>
        </w:tc>
        <w:tc>
          <w:tcPr>
            <w:tcW w:w="180" w:type="dxa"/>
            <w:tcBorders>
              <w:top w:val="nil"/>
              <w:left w:val="nil"/>
              <w:bottom w:val="nil"/>
              <w:right w:val="single" w:sz="8" w:space="0" w:color="auto"/>
            </w:tcBorders>
            <w:shd w:val="clear" w:color="auto" w:fill="auto"/>
            <w:noWrap/>
            <w:vAlign w:val="bottom"/>
            <w:hideMark/>
          </w:tcPr>
          <w:p w14:paraId="5CE424F7"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10646750"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2006BA14"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3D1D60B1"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 xml:space="preserve">Winter Protected - Soc.Secur </w:t>
            </w:r>
          </w:p>
        </w:tc>
        <w:tc>
          <w:tcPr>
            <w:tcW w:w="1140" w:type="dxa"/>
            <w:tcBorders>
              <w:top w:val="nil"/>
              <w:left w:val="single" w:sz="8" w:space="0" w:color="auto"/>
              <w:bottom w:val="nil"/>
              <w:right w:val="nil"/>
            </w:tcBorders>
            <w:shd w:val="clear" w:color="auto" w:fill="auto"/>
            <w:noWrap/>
            <w:vAlign w:val="bottom"/>
            <w:hideMark/>
          </w:tcPr>
          <w:p w14:paraId="2B132E75"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81 </w:t>
            </w:r>
          </w:p>
        </w:tc>
        <w:tc>
          <w:tcPr>
            <w:tcW w:w="1180" w:type="dxa"/>
            <w:tcBorders>
              <w:top w:val="nil"/>
              <w:left w:val="nil"/>
              <w:bottom w:val="nil"/>
              <w:right w:val="nil"/>
            </w:tcBorders>
            <w:shd w:val="clear" w:color="auto" w:fill="auto"/>
            <w:noWrap/>
            <w:vAlign w:val="bottom"/>
            <w:hideMark/>
          </w:tcPr>
          <w:p w14:paraId="19EA1546"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0.05%</w:t>
            </w:r>
          </w:p>
        </w:tc>
        <w:tc>
          <w:tcPr>
            <w:tcW w:w="140" w:type="dxa"/>
            <w:tcBorders>
              <w:top w:val="nil"/>
              <w:left w:val="nil"/>
              <w:bottom w:val="nil"/>
              <w:right w:val="single" w:sz="8" w:space="0" w:color="auto"/>
            </w:tcBorders>
            <w:shd w:val="clear" w:color="auto" w:fill="auto"/>
            <w:noWrap/>
            <w:vAlign w:val="bottom"/>
            <w:hideMark/>
          </w:tcPr>
          <w:p w14:paraId="443EDEF1"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3AFBAC73"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0.09%</w:t>
            </w:r>
          </w:p>
        </w:tc>
        <w:tc>
          <w:tcPr>
            <w:tcW w:w="1200" w:type="dxa"/>
            <w:tcBorders>
              <w:top w:val="nil"/>
              <w:left w:val="nil"/>
              <w:bottom w:val="nil"/>
              <w:right w:val="nil"/>
            </w:tcBorders>
            <w:shd w:val="clear" w:color="auto" w:fill="auto"/>
            <w:noWrap/>
            <w:vAlign w:val="bottom"/>
            <w:hideMark/>
          </w:tcPr>
          <w:p w14:paraId="64139D01"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117 </w:t>
            </w:r>
          </w:p>
        </w:tc>
        <w:tc>
          <w:tcPr>
            <w:tcW w:w="180" w:type="dxa"/>
            <w:tcBorders>
              <w:top w:val="nil"/>
              <w:left w:val="nil"/>
              <w:bottom w:val="nil"/>
              <w:right w:val="single" w:sz="8" w:space="0" w:color="auto"/>
            </w:tcBorders>
            <w:shd w:val="clear" w:color="auto" w:fill="auto"/>
            <w:noWrap/>
            <w:vAlign w:val="bottom"/>
            <w:hideMark/>
          </w:tcPr>
          <w:p w14:paraId="5F7B1869"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55D62C0B" w14:textId="77777777" w:rsidTr="000B616F">
        <w:trPr>
          <w:trHeight w:val="260"/>
          <w:jc w:val="center"/>
        </w:trPr>
        <w:tc>
          <w:tcPr>
            <w:tcW w:w="200" w:type="dxa"/>
            <w:tcBorders>
              <w:top w:val="nil"/>
              <w:left w:val="single" w:sz="8" w:space="0" w:color="auto"/>
              <w:bottom w:val="nil"/>
              <w:right w:val="nil"/>
            </w:tcBorders>
            <w:shd w:val="clear" w:color="auto" w:fill="auto"/>
            <w:noWrap/>
            <w:vAlign w:val="bottom"/>
            <w:hideMark/>
          </w:tcPr>
          <w:p w14:paraId="76DC2281"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nil"/>
              <w:right w:val="nil"/>
            </w:tcBorders>
            <w:shd w:val="clear" w:color="auto" w:fill="auto"/>
            <w:noWrap/>
            <w:vAlign w:val="bottom"/>
            <w:hideMark/>
          </w:tcPr>
          <w:p w14:paraId="7624A2C6" w14:textId="77777777" w:rsidR="00A005B7" w:rsidRPr="00AA32FB" w:rsidRDefault="00A005B7" w:rsidP="000B616F">
            <w:pPr>
              <w:keepNext/>
              <w:keepLines/>
              <w:widowControl/>
              <w:autoSpaceDE/>
              <w:autoSpaceDN/>
              <w:adjustRightInd/>
              <w:ind w:firstLine="200"/>
              <w:rPr>
                <w:color w:val="000000"/>
                <w:sz w:val="20"/>
                <w:szCs w:val="20"/>
              </w:rPr>
            </w:pPr>
            <w:r w:rsidRPr="00AA32FB">
              <w:rPr>
                <w:color w:val="000000"/>
                <w:sz w:val="20"/>
                <w:szCs w:val="20"/>
              </w:rPr>
              <w:t>Winter Protected - Unemploymt</w:t>
            </w:r>
          </w:p>
        </w:tc>
        <w:tc>
          <w:tcPr>
            <w:tcW w:w="1140" w:type="dxa"/>
            <w:tcBorders>
              <w:top w:val="nil"/>
              <w:left w:val="single" w:sz="8" w:space="0" w:color="auto"/>
              <w:bottom w:val="nil"/>
              <w:right w:val="nil"/>
            </w:tcBorders>
            <w:shd w:val="clear" w:color="auto" w:fill="auto"/>
            <w:noWrap/>
            <w:vAlign w:val="bottom"/>
            <w:hideMark/>
          </w:tcPr>
          <w:p w14:paraId="76858621"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31 </w:t>
            </w:r>
          </w:p>
        </w:tc>
        <w:tc>
          <w:tcPr>
            <w:tcW w:w="1180" w:type="dxa"/>
            <w:tcBorders>
              <w:top w:val="nil"/>
              <w:left w:val="nil"/>
              <w:bottom w:val="nil"/>
              <w:right w:val="nil"/>
            </w:tcBorders>
            <w:shd w:val="clear" w:color="auto" w:fill="auto"/>
            <w:noWrap/>
            <w:vAlign w:val="bottom"/>
            <w:hideMark/>
          </w:tcPr>
          <w:p w14:paraId="7B779818"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0.02%</w:t>
            </w:r>
          </w:p>
        </w:tc>
        <w:tc>
          <w:tcPr>
            <w:tcW w:w="140" w:type="dxa"/>
            <w:tcBorders>
              <w:top w:val="nil"/>
              <w:left w:val="nil"/>
              <w:bottom w:val="nil"/>
              <w:right w:val="single" w:sz="8" w:space="0" w:color="auto"/>
            </w:tcBorders>
            <w:shd w:val="clear" w:color="auto" w:fill="auto"/>
            <w:noWrap/>
            <w:vAlign w:val="bottom"/>
            <w:hideMark/>
          </w:tcPr>
          <w:p w14:paraId="3612D784"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c>
          <w:tcPr>
            <w:tcW w:w="1180" w:type="dxa"/>
            <w:tcBorders>
              <w:top w:val="nil"/>
              <w:left w:val="nil"/>
              <w:bottom w:val="nil"/>
              <w:right w:val="nil"/>
            </w:tcBorders>
            <w:shd w:val="clear" w:color="auto" w:fill="auto"/>
            <w:noWrap/>
            <w:vAlign w:val="bottom"/>
            <w:hideMark/>
          </w:tcPr>
          <w:p w14:paraId="0BE2B41B"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0.03%</w:t>
            </w:r>
          </w:p>
        </w:tc>
        <w:tc>
          <w:tcPr>
            <w:tcW w:w="1200" w:type="dxa"/>
            <w:tcBorders>
              <w:top w:val="nil"/>
              <w:left w:val="nil"/>
              <w:bottom w:val="nil"/>
              <w:right w:val="nil"/>
            </w:tcBorders>
            <w:shd w:val="clear" w:color="auto" w:fill="auto"/>
            <w:noWrap/>
            <w:vAlign w:val="bottom"/>
            <w:hideMark/>
          </w:tcPr>
          <w:p w14:paraId="1324186C" w14:textId="77777777" w:rsidR="00A005B7" w:rsidRPr="00AA32FB" w:rsidRDefault="00A005B7" w:rsidP="000B616F">
            <w:pPr>
              <w:keepNext/>
              <w:keepLines/>
              <w:widowControl/>
              <w:autoSpaceDE/>
              <w:autoSpaceDN/>
              <w:adjustRightInd/>
              <w:jc w:val="right"/>
              <w:rPr>
                <w:color w:val="000000"/>
                <w:sz w:val="20"/>
                <w:szCs w:val="20"/>
              </w:rPr>
            </w:pPr>
            <w:r w:rsidRPr="00AA32FB">
              <w:rPr>
                <w:color w:val="000000"/>
                <w:sz w:val="20"/>
                <w:szCs w:val="20"/>
              </w:rPr>
              <w:t xml:space="preserve"> 35 </w:t>
            </w:r>
          </w:p>
        </w:tc>
        <w:tc>
          <w:tcPr>
            <w:tcW w:w="180" w:type="dxa"/>
            <w:tcBorders>
              <w:top w:val="nil"/>
              <w:left w:val="nil"/>
              <w:bottom w:val="nil"/>
              <w:right w:val="single" w:sz="8" w:space="0" w:color="auto"/>
            </w:tcBorders>
            <w:shd w:val="clear" w:color="auto" w:fill="auto"/>
            <w:noWrap/>
            <w:vAlign w:val="bottom"/>
            <w:hideMark/>
          </w:tcPr>
          <w:p w14:paraId="6AC9ABF1"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r w:rsidR="00A005B7" w:rsidRPr="00AA32FB" w14:paraId="7DC6BBE0" w14:textId="77777777" w:rsidTr="000B616F">
        <w:trPr>
          <w:trHeight w:val="280"/>
          <w:jc w:val="center"/>
        </w:trPr>
        <w:tc>
          <w:tcPr>
            <w:tcW w:w="200" w:type="dxa"/>
            <w:tcBorders>
              <w:top w:val="nil"/>
              <w:left w:val="single" w:sz="8" w:space="0" w:color="auto"/>
              <w:bottom w:val="single" w:sz="8" w:space="0" w:color="auto"/>
              <w:right w:val="nil"/>
            </w:tcBorders>
            <w:shd w:val="clear" w:color="auto" w:fill="auto"/>
            <w:noWrap/>
            <w:vAlign w:val="bottom"/>
            <w:hideMark/>
          </w:tcPr>
          <w:p w14:paraId="146486A1" w14:textId="77777777" w:rsidR="00A005B7" w:rsidRPr="00AA32FB" w:rsidRDefault="00A005B7" w:rsidP="000B616F">
            <w:pPr>
              <w:keepNext/>
              <w:keepLines/>
              <w:widowControl/>
              <w:autoSpaceDE/>
              <w:autoSpaceDN/>
              <w:adjustRightInd/>
              <w:jc w:val="center"/>
              <w:rPr>
                <w:color w:val="000000"/>
                <w:sz w:val="22"/>
                <w:szCs w:val="22"/>
              </w:rPr>
            </w:pPr>
            <w:r w:rsidRPr="00AA32FB">
              <w:rPr>
                <w:color w:val="000000"/>
                <w:sz w:val="22"/>
                <w:szCs w:val="22"/>
              </w:rPr>
              <w:t> </w:t>
            </w:r>
          </w:p>
        </w:tc>
        <w:tc>
          <w:tcPr>
            <w:tcW w:w="3160" w:type="dxa"/>
            <w:tcBorders>
              <w:top w:val="nil"/>
              <w:left w:val="nil"/>
              <w:bottom w:val="single" w:sz="8" w:space="0" w:color="auto"/>
              <w:right w:val="nil"/>
            </w:tcBorders>
            <w:shd w:val="clear" w:color="auto" w:fill="auto"/>
            <w:noWrap/>
            <w:vAlign w:val="bottom"/>
            <w:hideMark/>
          </w:tcPr>
          <w:p w14:paraId="6F8D7FCA"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1140" w:type="dxa"/>
            <w:tcBorders>
              <w:top w:val="nil"/>
              <w:left w:val="single" w:sz="8" w:space="0" w:color="auto"/>
              <w:bottom w:val="single" w:sz="8" w:space="0" w:color="auto"/>
              <w:right w:val="nil"/>
            </w:tcBorders>
            <w:shd w:val="clear" w:color="auto" w:fill="auto"/>
            <w:noWrap/>
            <w:vAlign w:val="bottom"/>
            <w:hideMark/>
          </w:tcPr>
          <w:p w14:paraId="226C5628"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1180" w:type="dxa"/>
            <w:tcBorders>
              <w:top w:val="nil"/>
              <w:left w:val="nil"/>
              <w:bottom w:val="single" w:sz="8" w:space="0" w:color="auto"/>
              <w:right w:val="nil"/>
            </w:tcBorders>
            <w:shd w:val="clear" w:color="auto" w:fill="auto"/>
            <w:noWrap/>
            <w:vAlign w:val="bottom"/>
            <w:hideMark/>
          </w:tcPr>
          <w:p w14:paraId="3131F40E"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140" w:type="dxa"/>
            <w:tcBorders>
              <w:top w:val="nil"/>
              <w:left w:val="nil"/>
              <w:bottom w:val="single" w:sz="8" w:space="0" w:color="auto"/>
              <w:right w:val="single" w:sz="8" w:space="0" w:color="auto"/>
            </w:tcBorders>
            <w:shd w:val="clear" w:color="auto" w:fill="auto"/>
            <w:noWrap/>
            <w:vAlign w:val="bottom"/>
            <w:hideMark/>
          </w:tcPr>
          <w:p w14:paraId="646C876A"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1180" w:type="dxa"/>
            <w:tcBorders>
              <w:top w:val="nil"/>
              <w:left w:val="nil"/>
              <w:bottom w:val="single" w:sz="8" w:space="0" w:color="auto"/>
              <w:right w:val="nil"/>
            </w:tcBorders>
            <w:shd w:val="clear" w:color="auto" w:fill="auto"/>
            <w:noWrap/>
            <w:vAlign w:val="bottom"/>
            <w:hideMark/>
          </w:tcPr>
          <w:p w14:paraId="3293CE8B"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6B676696" w14:textId="77777777" w:rsidR="00A005B7" w:rsidRPr="00AA32FB" w:rsidRDefault="00A005B7" w:rsidP="000B616F">
            <w:pPr>
              <w:keepNext/>
              <w:keepLines/>
              <w:widowControl/>
              <w:autoSpaceDE/>
              <w:autoSpaceDN/>
              <w:adjustRightInd/>
              <w:rPr>
                <w:b/>
                <w:bCs/>
                <w:color w:val="000000"/>
                <w:sz w:val="20"/>
                <w:szCs w:val="20"/>
              </w:rPr>
            </w:pPr>
            <w:r w:rsidRPr="00AA32FB">
              <w:rPr>
                <w:b/>
                <w:bCs/>
                <w:color w:val="000000"/>
                <w:sz w:val="20"/>
                <w:szCs w:val="20"/>
              </w:rPr>
              <w:t> </w:t>
            </w:r>
          </w:p>
        </w:tc>
        <w:tc>
          <w:tcPr>
            <w:tcW w:w="180" w:type="dxa"/>
            <w:tcBorders>
              <w:top w:val="nil"/>
              <w:left w:val="nil"/>
              <w:bottom w:val="single" w:sz="8" w:space="0" w:color="auto"/>
              <w:right w:val="single" w:sz="8" w:space="0" w:color="auto"/>
            </w:tcBorders>
            <w:shd w:val="clear" w:color="auto" w:fill="auto"/>
            <w:noWrap/>
            <w:vAlign w:val="bottom"/>
            <w:hideMark/>
          </w:tcPr>
          <w:p w14:paraId="78D77C41" w14:textId="77777777" w:rsidR="00A005B7" w:rsidRPr="00AA32FB" w:rsidRDefault="00A005B7" w:rsidP="000B616F">
            <w:pPr>
              <w:keepNext/>
              <w:keepLines/>
              <w:widowControl/>
              <w:autoSpaceDE/>
              <w:autoSpaceDN/>
              <w:adjustRightInd/>
              <w:rPr>
                <w:color w:val="000000"/>
                <w:sz w:val="20"/>
                <w:szCs w:val="20"/>
              </w:rPr>
            </w:pPr>
            <w:r w:rsidRPr="00AA32FB">
              <w:rPr>
                <w:color w:val="000000"/>
                <w:sz w:val="20"/>
                <w:szCs w:val="20"/>
              </w:rPr>
              <w:t> </w:t>
            </w:r>
          </w:p>
        </w:tc>
      </w:tr>
    </w:tbl>
    <w:p w14:paraId="4C2280BA" w14:textId="77777777" w:rsidR="00A005B7" w:rsidRDefault="00A005B7" w:rsidP="00A005B7">
      <w:pPr>
        <w:keepNext/>
        <w:keepLines/>
        <w:ind w:left="720" w:hanging="720"/>
        <w:jc w:val="center"/>
        <w:rPr>
          <w:b/>
        </w:rPr>
      </w:pPr>
    </w:p>
    <w:p w14:paraId="62B13F40" w14:textId="77777777" w:rsidR="00A005B7" w:rsidRDefault="00A005B7" w:rsidP="00A005B7">
      <w:pPr>
        <w:keepNext/>
        <w:keepLines/>
        <w:ind w:left="720" w:hanging="720"/>
        <w:jc w:val="center"/>
        <w:rPr>
          <w:b/>
        </w:rPr>
      </w:pPr>
    </w:p>
    <w:p w14:paraId="44D478BB" w14:textId="77777777" w:rsidR="00A005B7" w:rsidRDefault="00A005B7" w:rsidP="00A005B7">
      <w:pPr>
        <w:spacing w:line="480" w:lineRule="auto"/>
        <w:ind w:left="720" w:hanging="720"/>
        <w:rPr>
          <w:b/>
        </w:rPr>
      </w:pPr>
      <w:r>
        <w:rPr>
          <w:b/>
        </w:rPr>
        <w:t>Q:</w:t>
      </w:r>
      <w:r>
        <w:rPr>
          <w:b/>
        </w:rPr>
        <w:tab/>
        <w:t>Do you have any other observations based on public data?</w:t>
      </w:r>
    </w:p>
    <w:p w14:paraId="262868CA" w14:textId="77777777" w:rsidR="00A005B7" w:rsidRDefault="00A005B7" w:rsidP="00A005B7">
      <w:pPr>
        <w:spacing w:line="480" w:lineRule="auto"/>
        <w:ind w:left="720" w:hanging="720"/>
      </w:pPr>
      <w:r w:rsidRPr="00EB51E0">
        <w:t>A:</w:t>
      </w:r>
      <w:r w:rsidRPr="00EB51E0">
        <w:tab/>
      </w:r>
      <w:r>
        <w:t>Yes.  The weighted average price for residential service across all 38</w:t>
      </w:r>
      <w:r w:rsidR="00A93FF2">
        <w:t xml:space="preserve"> Supplier</w:t>
      </w:r>
      <w:r>
        <w:t xml:space="preserve">s is 0.11112 per </w:t>
      </w:r>
      <w:r w:rsidR="00D766F3">
        <w:t>kW</w:t>
      </w:r>
      <w:r>
        <w:t>h.</w:t>
      </w:r>
      <w:r>
        <w:rPr>
          <w:rStyle w:val="FootnoteReference"/>
        </w:rPr>
        <w:footnoteReference w:id="54"/>
      </w:r>
      <w:r>
        <w:t xml:space="preserve">  The standard service price charged by UI during the same period was either $0.076974 (for the period prior to and including December 31, 2013) or $0.090041 (for the portion of the</w:t>
      </w:r>
      <w:r w:rsidR="00A80824">
        <w:t xml:space="preserve"> billing period after December 3</w:t>
      </w:r>
      <w:r>
        <w:t>1, 2013</w:t>
      </w:r>
      <w:r w:rsidR="00D766F3">
        <w:t>)</w:t>
      </w:r>
      <w:r>
        <w:t>.</w:t>
      </w:r>
      <w:r>
        <w:rPr>
          <w:rStyle w:val="FootnoteReference"/>
        </w:rPr>
        <w:footnoteReference w:id="55"/>
      </w:r>
      <w:r>
        <w:t xml:space="preserve"> </w:t>
      </w:r>
      <w:r w:rsidR="008B6DBC">
        <w:t xml:space="preserve"> We </w:t>
      </w:r>
      <w:r>
        <w:t xml:space="preserve">calculate an average UI standard rate of $0.082355 per </w:t>
      </w:r>
      <w:r w:rsidR="00D766F3">
        <w:t>kW</w:t>
      </w:r>
      <w:r>
        <w:t>h for comparison with</w:t>
      </w:r>
      <w:r w:rsidR="00A93FF2">
        <w:t xml:space="preserve"> Supplier</w:t>
      </w:r>
      <w:r>
        <w:t>s’ rates.</w:t>
      </w:r>
      <w:r>
        <w:rPr>
          <w:rStyle w:val="FootnoteReference"/>
        </w:rPr>
        <w:footnoteReference w:id="56"/>
      </w:r>
      <w:r>
        <w:t xml:space="preserve">  Therefore, the</w:t>
      </w:r>
      <w:r w:rsidR="00A93FF2">
        <w:t xml:space="preserve"> Supplier</w:t>
      </w:r>
      <w:r>
        <w:t xml:space="preserve">s, as a whole, charged consumers approximately 35% more per Kwh in the December 2013 – January 2014 time period.  </w:t>
      </w:r>
      <w:r w:rsidR="00063CC3">
        <w:t xml:space="preserve"> </w:t>
      </w:r>
    </w:p>
    <w:p w14:paraId="7748D277" w14:textId="77777777" w:rsidR="00A005B7" w:rsidRDefault="00A005B7" w:rsidP="00A005B7">
      <w:pPr>
        <w:spacing w:line="480" w:lineRule="auto"/>
        <w:ind w:left="720" w:hanging="720"/>
      </w:pPr>
    </w:p>
    <w:p w14:paraId="3FBF0B34" w14:textId="77777777" w:rsidR="00A005B7" w:rsidRDefault="00A005B7" w:rsidP="00871ECB">
      <w:pPr>
        <w:spacing w:line="480" w:lineRule="auto"/>
        <w:ind w:left="720"/>
        <w:rPr>
          <w:b/>
        </w:rPr>
      </w:pPr>
      <w:r>
        <w:t xml:space="preserve">In total, 41,412 residential customers </w:t>
      </w:r>
      <w:r w:rsidR="00C447BD">
        <w:t>were</w:t>
      </w:r>
      <w:r>
        <w:t xml:space="preserve"> paying less than UI’s </w:t>
      </w:r>
      <w:r w:rsidR="00A93FF2">
        <w:t>Standard Offer</w:t>
      </w:r>
      <w:r>
        <w:t xml:space="preserve"> </w:t>
      </w:r>
      <w:r w:rsidRPr="0095491A">
        <w:t>and</w:t>
      </w:r>
      <w:r>
        <w:rPr>
          <w:b/>
        </w:rPr>
        <w:t xml:space="preserve"> </w:t>
      </w:r>
      <w:r w:rsidRPr="00EB488A">
        <w:t>95,398</w:t>
      </w:r>
      <w:r>
        <w:t xml:space="preserve"> (or 70</w:t>
      </w:r>
      <w:r w:rsidRPr="0095491A">
        <w:t>%</w:t>
      </w:r>
      <w:r>
        <w:t xml:space="preserve"> of</w:t>
      </w:r>
      <w:r w:rsidR="00A93FF2">
        <w:t xml:space="preserve"> Supplier</w:t>
      </w:r>
      <w:r>
        <w:t>s’ residential customers)</w:t>
      </w:r>
      <w:r w:rsidRPr="0095491A">
        <w:t xml:space="preserve"> </w:t>
      </w:r>
      <w:r w:rsidR="00C447BD">
        <w:t>were</w:t>
      </w:r>
      <w:r w:rsidRPr="0095491A">
        <w:t xml:space="preserve"> paying</w:t>
      </w:r>
      <w:r>
        <w:t xml:space="preserve"> more than UI</w:t>
      </w:r>
      <w:r w:rsidRPr="0095491A">
        <w:t xml:space="preserve">’s </w:t>
      </w:r>
      <w:r w:rsidR="00A93FF2">
        <w:t>Standard Offer</w:t>
      </w:r>
      <w:r w:rsidRPr="0095491A">
        <w:t>.</w:t>
      </w:r>
      <w:r>
        <w:rPr>
          <w:rStyle w:val="FootnoteReference"/>
        </w:rPr>
        <w:footnoteReference w:id="57"/>
      </w:r>
    </w:p>
    <w:p w14:paraId="1F1D99FE" w14:textId="77777777" w:rsidR="00A005B7" w:rsidRDefault="00A005B7" w:rsidP="00A005B7">
      <w:pPr>
        <w:spacing w:line="480" w:lineRule="auto"/>
        <w:ind w:left="720" w:hanging="720"/>
        <w:rPr>
          <w:b/>
        </w:rPr>
      </w:pPr>
      <w:r>
        <w:rPr>
          <w:b/>
        </w:rPr>
        <w:t>Q:</w:t>
      </w:r>
      <w:r>
        <w:rPr>
          <w:b/>
        </w:rPr>
        <w:tab/>
        <w:t xml:space="preserve">Have you </w:t>
      </w:r>
      <w:r w:rsidRPr="001B52BC">
        <w:rPr>
          <w:b/>
        </w:rPr>
        <w:t>reviewed information</w:t>
      </w:r>
      <w:r>
        <w:rPr>
          <w:b/>
        </w:rPr>
        <w:t xml:space="preserve"> regarding the specific data about individual</w:t>
      </w:r>
      <w:r w:rsidR="00A93FF2">
        <w:rPr>
          <w:b/>
        </w:rPr>
        <w:t xml:space="preserve"> Supplier</w:t>
      </w:r>
      <w:r>
        <w:rPr>
          <w:b/>
        </w:rPr>
        <w:t>s?</w:t>
      </w:r>
    </w:p>
    <w:p w14:paraId="4DA95F6B" w14:textId="77777777" w:rsidR="00A005B7" w:rsidRDefault="00A005B7" w:rsidP="00AA7E2F">
      <w:pPr>
        <w:spacing w:line="480" w:lineRule="auto"/>
        <w:ind w:left="720" w:hanging="720"/>
      </w:pPr>
      <w:r>
        <w:t>A:</w:t>
      </w:r>
      <w:r>
        <w:tab/>
        <w:t xml:space="preserve">Yes.  Only 27 of the 38 Suppliers in UI’s territory provide service to residential customers that have </w:t>
      </w:r>
      <w:r w:rsidR="00913D45">
        <w:t>h</w:t>
      </w:r>
      <w:r>
        <w:t xml:space="preserve">ardship </w:t>
      </w:r>
      <w:r w:rsidR="00913D45">
        <w:t>c</w:t>
      </w:r>
      <w:r>
        <w:t>odes</w:t>
      </w:r>
      <w:r w:rsidR="00C447BD">
        <w:t>,</w:t>
      </w:r>
      <w:r>
        <w:t xml:space="preserve"> and the percentage of those Suppliers’ customers that are coded as </w:t>
      </w:r>
      <w:r w:rsidR="00913D45">
        <w:t>“h</w:t>
      </w:r>
      <w:r>
        <w:t>ardship</w:t>
      </w:r>
      <w:r w:rsidR="00913D45">
        <w:t>”</w:t>
      </w:r>
      <w:r>
        <w:t xml:space="preserve"> varies considerably among</w:t>
      </w:r>
      <w:r w:rsidR="00A93FF2">
        <w:t xml:space="preserve"> Supplier</w:t>
      </w:r>
      <w:r>
        <w:t>s.</w:t>
      </w:r>
      <w:r>
        <w:rPr>
          <w:rStyle w:val="FootnoteReference"/>
        </w:rPr>
        <w:footnoteReference w:id="58"/>
      </w:r>
      <w:r>
        <w:t xml:space="preserve">  </w:t>
      </w:r>
      <w:r w:rsidR="0055710F">
        <w:t>Partially Confidential Table C-16</w:t>
      </w:r>
      <w:r w:rsidR="00E133A6">
        <w:t xml:space="preserve"> </w:t>
      </w:r>
      <w:r>
        <w:t xml:space="preserve">below shows that some companies, such as </w:t>
      </w:r>
      <w:r w:rsidR="00AA7E2F">
        <w:t>HIKO</w:t>
      </w:r>
      <w:r>
        <w:t xml:space="preserve"> Energy</w:t>
      </w:r>
      <w:r w:rsidR="00AA7E2F">
        <w:t>, LLC (“HIKO”)</w:t>
      </w:r>
      <w:r>
        <w:t>, Independence Energy</w:t>
      </w:r>
      <w:r w:rsidR="00AA7E2F">
        <w:t xml:space="preserve"> Group, LLC (“Independence”)</w:t>
      </w:r>
      <w:r>
        <w:t>, Abest Power</w:t>
      </w:r>
      <w:r w:rsidR="00AA7E2F">
        <w:t xml:space="preserve">, Palmco Power CT, LLC (“Palmco”) and Connecticut </w:t>
      </w:r>
      <w:r>
        <w:t>Gas &amp; Electric</w:t>
      </w:r>
      <w:r w:rsidR="00AA7E2F">
        <w:t>, Inc. (“CTG&amp;E”)</w:t>
      </w:r>
      <w:r w:rsidRPr="00FB2359">
        <w:t xml:space="preserve"> </w:t>
      </w:r>
      <w:r>
        <w:t>serve a customer base in UI’s territory that is over 20% hardship</w:t>
      </w:r>
      <w:r w:rsidRPr="00A66249">
        <w:t>.</w:t>
      </w:r>
      <w:r w:rsidR="00A90794">
        <w:rPr>
          <w:rStyle w:val="FootnoteReference"/>
        </w:rPr>
        <w:footnoteReference w:id="59"/>
      </w:r>
      <w:r>
        <w:t xml:space="preserve">  Recall, from above, in Table </w:t>
      </w:r>
      <w:r w:rsidR="0055710F">
        <w:t>15</w:t>
      </w:r>
      <w:r>
        <w:t xml:space="preserve">, that just 6% of </w:t>
      </w:r>
      <w:r w:rsidR="00C90E5B">
        <w:t xml:space="preserve">the customers to whom </w:t>
      </w:r>
      <w:r>
        <w:t>UI</w:t>
      </w:r>
      <w:r w:rsidR="00C90E5B">
        <w:t xml:space="preserve"> provides generation services directly </w:t>
      </w:r>
      <w:r>
        <w:t>are hardship coded.</w:t>
      </w:r>
      <w:r w:rsidR="002048BB">
        <w:rPr>
          <w:rStyle w:val="FootnoteReference"/>
        </w:rPr>
        <w:footnoteReference w:id="60"/>
      </w:r>
      <w:r w:rsidR="00B0304B">
        <w:t xml:space="preserve">  </w:t>
      </w:r>
    </w:p>
    <w:p w14:paraId="75BE63E9" w14:textId="77777777" w:rsidR="00B67F55" w:rsidRDefault="000E5AA3" w:rsidP="00B82D3B">
      <w:pPr>
        <w:keepNext/>
        <w:keepLines/>
        <w:ind w:left="720" w:hanging="720"/>
        <w:jc w:val="center"/>
        <w:rPr>
          <w:b/>
        </w:rPr>
      </w:pPr>
      <w:r>
        <w:rPr>
          <w:b/>
        </w:rPr>
        <w:t xml:space="preserve">Partially </w:t>
      </w:r>
      <w:r w:rsidR="00E133A6">
        <w:rPr>
          <w:b/>
        </w:rPr>
        <w:t xml:space="preserve">Confidential </w:t>
      </w:r>
      <w:r w:rsidR="00A005B7">
        <w:rPr>
          <w:b/>
        </w:rPr>
        <w:t xml:space="preserve">Table </w:t>
      </w:r>
      <w:r w:rsidR="00E133A6">
        <w:rPr>
          <w:b/>
        </w:rPr>
        <w:t>C-</w:t>
      </w:r>
      <w:r w:rsidR="00526614">
        <w:rPr>
          <w:b/>
        </w:rPr>
        <w:t>1</w:t>
      </w:r>
      <w:r w:rsidR="0055710F">
        <w:rPr>
          <w:b/>
        </w:rPr>
        <w:t>6</w:t>
      </w:r>
    </w:p>
    <w:p w14:paraId="240BCBE5" w14:textId="77777777" w:rsidR="00A005B7" w:rsidRDefault="00A005B7" w:rsidP="00B82D3B">
      <w:pPr>
        <w:keepNext/>
        <w:keepLines/>
        <w:ind w:left="720" w:hanging="720"/>
        <w:jc w:val="center"/>
        <w:rPr>
          <w:b/>
        </w:rPr>
      </w:pPr>
      <w:r>
        <w:rPr>
          <w:b/>
        </w:rPr>
        <w:t>UI Suppliers Ranked by Percent of Customers with Hardship Codes</w:t>
      </w:r>
    </w:p>
    <w:p w14:paraId="7399D98B" w14:textId="77777777" w:rsidR="00A10500" w:rsidRDefault="00A10500" w:rsidP="00B82D3B">
      <w:pPr>
        <w:keepNext/>
        <w:keepLines/>
        <w:ind w:left="720" w:hanging="720"/>
        <w:jc w:val="center"/>
        <w:rPr>
          <w:b/>
        </w:rPr>
      </w:pPr>
    </w:p>
    <w:p w14:paraId="703BA307" w14:textId="77777777" w:rsidR="00A005B7" w:rsidRDefault="00A005B7" w:rsidP="00B82D3B">
      <w:pPr>
        <w:keepNext/>
        <w:keepLines/>
        <w:ind w:left="720" w:hanging="720"/>
        <w:rPr>
          <w:b/>
        </w:rPr>
      </w:pPr>
      <w:r>
        <w:rPr>
          <w:b/>
        </w:rPr>
        <w:t>&lt;&lt;&lt;BEGIN CONFIDENTIAL</w:t>
      </w:r>
    </w:p>
    <w:tbl>
      <w:tblPr>
        <w:tblW w:w="9041" w:type="dxa"/>
        <w:jc w:val="center"/>
        <w:tblLook w:val="04A0" w:firstRow="1" w:lastRow="0" w:firstColumn="1" w:lastColumn="0" w:noHBand="0" w:noVBand="1"/>
      </w:tblPr>
      <w:tblGrid>
        <w:gridCol w:w="3255"/>
        <w:gridCol w:w="1340"/>
        <w:gridCol w:w="1420"/>
        <w:gridCol w:w="1823"/>
        <w:gridCol w:w="1497"/>
      </w:tblGrid>
      <w:tr w:rsidR="00B82D3B" w:rsidRPr="00B879CD" w14:paraId="1FE2BBFF" w14:textId="77777777" w:rsidTr="00A10500">
        <w:trPr>
          <w:trHeight w:val="1366"/>
          <w:jc w:val="center"/>
        </w:trPr>
        <w:tc>
          <w:tcPr>
            <w:tcW w:w="3255" w:type="dxa"/>
            <w:tcBorders>
              <w:top w:val="single" w:sz="8" w:space="0" w:color="auto"/>
              <w:left w:val="single" w:sz="8" w:space="0" w:color="auto"/>
              <w:bottom w:val="single" w:sz="8" w:space="0" w:color="auto"/>
              <w:right w:val="nil"/>
            </w:tcBorders>
            <w:shd w:val="clear" w:color="auto" w:fill="auto"/>
            <w:noWrap/>
            <w:vAlign w:val="center"/>
            <w:hideMark/>
          </w:tcPr>
          <w:p w14:paraId="3AEA355C" w14:textId="77777777" w:rsidR="00B82D3B" w:rsidRPr="00B879CD" w:rsidRDefault="00B82D3B" w:rsidP="00B82D3B">
            <w:pPr>
              <w:keepNext/>
              <w:keepLines/>
              <w:jc w:val="center"/>
              <w:rPr>
                <w:b/>
                <w:bCs/>
                <w:color w:val="000000"/>
              </w:rPr>
            </w:pPr>
            <w:r w:rsidRPr="00B879CD">
              <w:rPr>
                <w:b/>
                <w:bCs/>
                <w:color w:val="000000"/>
              </w:rPr>
              <w:t>Supplier Name</w:t>
            </w:r>
          </w:p>
        </w:tc>
        <w:tc>
          <w:tcPr>
            <w:tcW w:w="1340" w:type="dxa"/>
            <w:tcBorders>
              <w:top w:val="single" w:sz="8" w:space="0" w:color="auto"/>
              <w:left w:val="nil"/>
              <w:bottom w:val="single" w:sz="8" w:space="0" w:color="auto"/>
              <w:right w:val="nil"/>
            </w:tcBorders>
            <w:shd w:val="clear" w:color="auto" w:fill="auto"/>
            <w:vAlign w:val="bottom"/>
            <w:hideMark/>
          </w:tcPr>
          <w:p w14:paraId="460DE0F7" w14:textId="77777777" w:rsidR="00B82D3B" w:rsidRPr="00B879CD" w:rsidRDefault="00B82D3B" w:rsidP="00B82D3B">
            <w:pPr>
              <w:keepNext/>
              <w:keepLines/>
              <w:jc w:val="center"/>
              <w:rPr>
                <w:b/>
                <w:bCs/>
                <w:color w:val="000000"/>
              </w:rPr>
            </w:pPr>
            <w:r w:rsidRPr="00B879CD">
              <w:rPr>
                <w:b/>
                <w:bCs/>
                <w:color w:val="000000"/>
              </w:rPr>
              <w:t>Number of Customers With Hardship Code</w:t>
            </w:r>
          </w:p>
        </w:tc>
        <w:tc>
          <w:tcPr>
            <w:tcW w:w="1420" w:type="dxa"/>
            <w:tcBorders>
              <w:top w:val="single" w:sz="8" w:space="0" w:color="auto"/>
              <w:left w:val="nil"/>
              <w:bottom w:val="single" w:sz="8" w:space="0" w:color="auto"/>
              <w:right w:val="nil"/>
            </w:tcBorders>
            <w:shd w:val="clear" w:color="auto" w:fill="auto"/>
            <w:vAlign w:val="center"/>
            <w:hideMark/>
          </w:tcPr>
          <w:p w14:paraId="1D7C35B4" w14:textId="77777777" w:rsidR="00B82D3B" w:rsidRPr="00B879CD" w:rsidRDefault="00B82D3B" w:rsidP="00B82D3B">
            <w:pPr>
              <w:keepNext/>
              <w:keepLines/>
              <w:jc w:val="center"/>
              <w:rPr>
                <w:b/>
                <w:bCs/>
                <w:color w:val="000000"/>
              </w:rPr>
            </w:pPr>
            <w:r w:rsidRPr="00B879CD">
              <w:rPr>
                <w:b/>
                <w:bCs/>
                <w:color w:val="000000"/>
              </w:rPr>
              <w:t>Number of Customers</w:t>
            </w:r>
          </w:p>
        </w:tc>
        <w:tc>
          <w:tcPr>
            <w:tcW w:w="1823" w:type="dxa"/>
            <w:tcBorders>
              <w:top w:val="single" w:sz="8" w:space="0" w:color="auto"/>
              <w:left w:val="nil"/>
              <w:bottom w:val="single" w:sz="8" w:space="0" w:color="auto"/>
              <w:right w:val="nil"/>
            </w:tcBorders>
            <w:shd w:val="clear" w:color="auto" w:fill="auto"/>
            <w:vAlign w:val="center"/>
            <w:hideMark/>
          </w:tcPr>
          <w:p w14:paraId="4125094A" w14:textId="77777777" w:rsidR="00B82D3B" w:rsidRPr="00B879CD" w:rsidRDefault="00B82D3B" w:rsidP="00B82D3B">
            <w:pPr>
              <w:keepNext/>
              <w:keepLines/>
              <w:jc w:val="center"/>
              <w:rPr>
                <w:b/>
                <w:bCs/>
                <w:color w:val="000000"/>
              </w:rPr>
            </w:pPr>
            <w:r w:rsidRPr="00B879CD">
              <w:rPr>
                <w:b/>
                <w:bCs/>
                <w:color w:val="000000"/>
              </w:rPr>
              <w:t>Percent of Supplier Customers With Hardship Code</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14:paraId="44E23FFD" w14:textId="77777777" w:rsidR="00B82D3B" w:rsidRDefault="00B82D3B" w:rsidP="00B82D3B">
            <w:pPr>
              <w:keepNext/>
              <w:keepLines/>
              <w:jc w:val="center"/>
              <w:rPr>
                <w:b/>
                <w:bCs/>
                <w:color w:val="000000"/>
              </w:rPr>
            </w:pPr>
            <w:r w:rsidRPr="00B879CD">
              <w:rPr>
                <w:b/>
                <w:bCs/>
                <w:color w:val="000000"/>
              </w:rPr>
              <w:t>Weighted Average Price</w:t>
            </w:r>
          </w:p>
          <w:p w14:paraId="36BD9A2A" w14:textId="77777777" w:rsidR="000E5AA3" w:rsidRDefault="000E5AA3" w:rsidP="00B82D3B">
            <w:pPr>
              <w:keepNext/>
              <w:keepLines/>
              <w:jc w:val="center"/>
              <w:rPr>
                <w:b/>
                <w:bCs/>
                <w:color w:val="000000"/>
                <w:highlight w:val="yellow"/>
              </w:rPr>
            </w:pPr>
            <w:r w:rsidRPr="004A5E30">
              <w:rPr>
                <w:b/>
                <w:bCs/>
                <w:color w:val="000000"/>
                <w:highlight w:val="yellow"/>
              </w:rPr>
              <w:t>CONFIDEN</w:t>
            </w:r>
          </w:p>
          <w:p w14:paraId="22CFFB27" w14:textId="77777777" w:rsidR="000E5AA3" w:rsidRPr="00B879CD" w:rsidRDefault="000E5AA3" w:rsidP="00B82D3B">
            <w:pPr>
              <w:keepNext/>
              <w:keepLines/>
              <w:jc w:val="center"/>
              <w:rPr>
                <w:b/>
                <w:bCs/>
                <w:color w:val="000000"/>
              </w:rPr>
            </w:pPr>
            <w:r w:rsidRPr="004A5E30">
              <w:rPr>
                <w:b/>
                <w:bCs/>
                <w:color w:val="000000"/>
                <w:highlight w:val="yellow"/>
              </w:rPr>
              <w:t>TIAL</w:t>
            </w:r>
          </w:p>
        </w:tc>
      </w:tr>
      <w:tr w:rsidR="00B82D3B" w:rsidRPr="00B879CD" w14:paraId="7858A911" w14:textId="77777777" w:rsidTr="00D72A78">
        <w:trPr>
          <w:trHeight w:val="340"/>
          <w:jc w:val="center"/>
        </w:trPr>
        <w:tc>
          <w:tcPr>
            <w:tcW w:w="3255" w:type="dxa"/>
            <w:tcBorders>
              <w:top w:val="nil"/>
              <w:left w:val="single" w:sz="8" w:space="0" w:color="auto"/>
              <w:bottom w:val="single" w:sz="4" w:space="0" w:color="auto"/>
              <w:right w:val="nil"/>
            </w:tcBorders>
            <w:shd w:val="clear" w:color="auto" w:fill="auto"/>
            <w:noWrap/>
            <w:vAlign w:val="bottom"/>
            <w:hideMark/>
          </w:tcPr>
          <w:p w14:paraId="5852DB49" w14:textId="77777777" w:rsidR="00B82D3B" w:rsidRPr="00B879CD" w:rsidRDefault="00B82D3B" w:rsidP="00B82D3B">
            <w:pPr>
              <w:keepNext/>
              <w:keepLines/>
              <w:rPr>
                <w:color w:val="000000"/>
                <w:sz w:val="20"/>
                <w:szCs w:val="20"/>
              </w:rPr>
            </w:pPr>
            <w:r w:rsidRPr="00B879CD">
              <w:rPr>
                <w:color w:val="000000"/>
                <w:sz w:val="20"/>
                <w:szCs w:val="20"/>
              </w:rPr>
              <w:t>Hiko Energy</w:t>
            </w:r>
          </w:p>
        </w:tc>
        <w:tc>
          <w:tcPr>
            <w:tcW w:w="1340" w:type="dxa"/>
            <w:tcBorders>
              <w:top w:val="nil"/>
              <w:left w:val="nil"/>
              <w:bottom w:val="single" w:sz="4" w:space="0" w:color="auto"/>
              <w:right w:val="nil"/>
            </w:tcBorders>
            <w:shd w:val="clear" w:color="auto" w:fill="auto"/>
            <w:noWrap/>
            <w:vAlign w:val="bottom"/>
            <w:hideMark/>
          </w:tcPr>
          <w:p w14:paraId="7DB35B74" w14:textId="77777777" w:rsidR="00B82D3B" w:rsidRPr="00B879CD" w:rsidRDefault="00B82D3B" w:rsidP="00B82D3B">
            <w:pPr>
              <w:keepNext/>
              <w:keepLines/>
              <w:jc w:val="center"/>
              <w:rPr>
                <w:color w:val="000000"/>
                <w:sz w:val="20"/>
                <w:szCs w:val="20"/>
              </w:rPr>
            </w:pPr>
            <w:r w:rsidRPr="00B879CD">
              <w:rPr>
                <w:color w:val="000000"/>
                <w:sz w:val="20"/>
                <w:szCs w:val="20"/>
              </w:rPr>
              <w:t xml:space="preserve"> 1,326 </w:t>
            </w:r>
          </w:p>
        </w:tc>
        <w:tc>
          <w:tcPr>
            <w:tcW w:w="1420" w:type="dxa"/>
            <w:tcBorders>
              <w:top w:val="nil"/>
              <w:left w:val="nil"/>
              <w:bottom w:val="single" w:sz="4" w:space="0" w:color="auto"/>
              <w:right w:val="nil"/>
            </w:tcBorders>
            <w:shd w:val="clear" w:color="auto" w:fill="auto"/>
            <w:noWrap/>
            <w:vAlign w:val="bottom"/>
            <w:hideMark/>
          </w:tcPr>
          <w:p w14:paraId="64C86C78" w14:textId="77777777" w:rsidR="00B82D3B" w:rsidRPr="00B879CD" w:rsidRDefault="00B82D3B" w:rsidP="00B82D3B">
            <w:pPr>
              <w:keepNext/>
              <w:keepLines/>
              <w:jc w:val="right"/>
              <w:rPr>
                <w:color w:val="000000"/>
                <w:sz w:val="20"/>
                <w:szCs w:val="20"/>
              </w:rPr>
            </w:pPr>
            <w:r w:rsidRPr="00B879CD">
              <w:rPr>
                <w:color w:val="000000"/>
                <w:sz w:val="20"/>
                <w:szCs w:val="20"/>
              </w:rPr>
              <w:t xml:space="preserve"> 4,015 </w:t>
            </w:r>
          </w:p>
        </w:tc>
        <w:tc>
          <w:tcPr>
            <w:tcW w:w="1823" w:type="dxa"/>
            <w:tcBorders>
              <w:top w:val="nil"/>
              <w:left w:val="nil"/>
              <w:bottom w:val="single" w:sz="4" w:space="0" w:color="auto"/>
              <w:right w:val="nil"/>
            </w:tcBorders>
            <w:shd w:val="clear" w:color="auto" w:fill="auto"/>
            <w:noWrap/>
            <w:vAlign w:val="bottom"/>
            <w:hideMark/>
          </w:tcPr>
          <w:p w14:paraId="77F63732" w14:textId="77777777" w:rsidR="00B82D3B" w:rsidRPr="00B879CD" w:rsidRDefault="00B82D3B" w:rsidP="00B82D3B">
            <w:pPr>
              <w:keepNext/>
              <w:keepLines/>
              <w:ind w:firstLine="600"/>
              <w:rPr>
                <w:color w:val="000000"/>
                <w:sz w:val="20"/>
                <w:szCs w:val="20"/>
              </w:rPr>
            </w:pPr>
            <w:r w:rsidRPr="00B879CD">
              <w:rPr>
                <w:color w:val="000000"/>
                <w:sz w:val="20"/>
                <w:szCs w:val="20"/>
              </w:rPr>
              <w:t>33%</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3BB05FD1" w14:textId="5968E332" w:rsidR="00B82D3B" w:rsidRPr="00B879CD" w:rsidRDefault="00B82D3B" w:rsidP="00B82D3B">
            <w:pPr>
              <w:keepNext/>
              <w:keepLines/>
              <w:jc w:val="right"/>
              <w:rPr>
                <w:color w:val="000000"/>
                <w:sz w:val="20"/>
                <w:szCs w:val="20"/>
              </w:rPr>
            </w:pPr>
          </w:p>
        </w:tc>
      </w:tr>
      <w:tr w:rsidR="00B82D3B" w:rsidRPr="00B879CD" w14:paraId="7CB44C96"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7C5AF0B3" w14:textId="77777777" w:rsidR="00B82D3B" w:rsidRPr="00B879CD" w:rsidRDefault="00B82D3B" w:rsidP="00B82D3B">
            <w:pPr>
              <w:keepNext/>
              <w:keepLines/>
              <w:rPr>
                <w:color w:val="000000"/>
                <w:sz w:val="20"/>
                <w:szCs w:val="20"/>
              </w:rPr>
            </w:pPr>
            <w:r w:rsidRPr="00B879CD">
              <w:rPr>
                <w:color w:val="000000"/>
                <w:sz w:val="20"/>
                <w:szCs w:val="20"/>
              </w:rPr>
              <w:t>Independence Energy</w:t>
            </w:r>
          </w:p>
        </w:tc>
        <w:tc>
          <w:tcPr>
            <w:tcW w:w="1340" w:type="dxa"/>
            <w:tcBorders>
              <w:top w:val="nil"/>
              <w:left w:val="nil"/>
              <w:bottom w:val="single" w:sz="4" w:space="0" w:color="auto"/>
              <w:right w:val="nil"/>
            </w:tcBorders>
            <w:shd w:val="clear" w:color="auto" w:fill="auto"/>
            <w:noWrap/>
            <w:vAlign w:val="bottom"/>
            <w:hideMark/>
          </w:tcPr>
          <w:p w14:paraId="47D10939" w14:textId="77777777" w:rsidR="00B82D3B" w:rsidRPr="00B879CD" w:rsidRDefault="00B82D3B" w:rsidP="00B82D3B">
            <w:pPr>
              <w:keepNext/>
              <w:keepLines/>
              <w:jc w:val="center"/>
              <w:rPr>
                <w:color w:val="000000"/>
                <w:sz w:val="20"/>
                <w:szCs w:val="20"/>
              </w:rPr>
            </w:pPr>
            <w:r w:rsidRPr="00B879CD">
              <w:rPr>
                <w:color w:val="000000"/>
                <w:sz w:val="20"/>
                <w:szCs w:val="20"/>
              </w:rPr>
              <w:t xml:space="preserve"> 95 </w:t>
            </w:r>
          </w:p>
        </w:tc>
        <w:tc>
          <w:tcPr>
            <w:tcW w:w="1420" w:type="dxa"/>
            <w:tcBorders>
              <w:top w:val="nil"/>
              <w:left w:val="nil"/>
              <w:bottom w:val="single" w:sz="4" w:space="0" w:color="auto"/>
              <w:right w:val="nil"/>
            </w:tcBorders>
            <w:shd w:val="clear" w:color="auto" w:fill="auto"/>
            <w:noWrap/>
            <w:vAlign w:val="bottom"/>
            <w:hideMark/>
          </w:tcPr>
          <w:p w14:paraId="395BB5D6" w14:textId="77777777" w:rsidR="00B82D3B" w:rsidRPr="00B879CD" w:rsidRDefault="00B82D3B" w:rsidP="00B82D3B">
            <w:pPr>
              <w:keepNext/>
              <w:keepLines/>
              <w:jc w:val="right"/>
              <w:rPr>
                <w:color w:val="000000"/>
                <w:sz w:val="20"/>
                <w:szCs w:val="20"/>
              </w:rPr>
            </w:pPr>
            <w:r w:rsidRPr="00B879CD">
              <w:rPr>
                <w:color w:val="000000"/>
                <w:sz w:val="20"/>
                <w:szCs w:val="20"/>
              </w:rPr>
              <w:t xml:space="preserve"> 320 </w:t>
            </w:r>
          </w:p>
        </w:tc>
        <w:tc>
          <w:tcPr>
            <w:tcW w:w="1823" w:type="dxa"/>
            <w:tcBorders>
              <w:top w:val="nil"/>
              <w:left w:val="nil"/>
              <w:bottom w:val="single" w:sz="4" w:space="0" w:color="auto"/>
              <w:right w:val="nil"/>
            </w:tcBorders>
            <w:shd w:val="clear" w:color="auto" w:fill="auto"/>
            <w:noWrap/>
            <w:vAlign w:val="bottom"/>
            <w:hideMark/>
          </w:tcPr>
          <w:p w14:paraId="0E5B9C53" w14:textId="77777777" w:rsidR="00B82D3B" w:rsidRPr="00B879CD" w:rsidRDefault="00B82D3B" w:rsidP="00B82D3B">
            <w:pPr>
              <w:keepNext/>
              <w:keepLines/>
              <w:ind w:firstLine="600"/>
              <w:rPr>
                <w:color w:val="000000"/>
                <w:sz w:val="20"/>
                <w:szCs w:val="20"/>
              </w:rPr>
            </w:pPr>
            <w:r w:rsidRPr="00B879CD">
              <w:rPr>
                <w:color w:val="000000"/>
                <w:sz w:val="20"/>
                <w:szCs w:val="20"/>
              </w:rPr>
              <w:t>30%</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6B88DDDD" w14:textId="27E0E2F0" w:rsidR="00B82D3B" w:rsidRPr="00B879CD" w:rsidRDefault="00B82D3B" w:rsidP="00B82D3B">
            <w:pPr>
              <w:keepNext/>
              <w:keepLines/>
              <w:jc w:val="right"/>
              <w:rPr>
                <w:color w:val="000000"/>
                <w:sz w:val="20"/>
                <w:szCs w:val="20"/>
              </w:rPr>
            </w:pPr>
          </w:p>
        </w:tc>
      </w:tr>
      <w:tr w:rsidR="00B82D3B" w:rsidRPr="00B879CD" w14:paraId="168BE728"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2BEB0683" w14:textId="77777777" w:rsidR="00B82D3B" w:rsidRPr="00B879CD" w:rsidRDefault="00B82D3B" w:rsidP="00B82D3B">
            <w:pPr>
              <w:keepNext/>
              <w:keepLines/>
              <w:rPr>
                <w:color w:val="000000"/>
                <w:sz w:val="20"/>
                <w:szCs w:val="20"/>
              </w:rPr>
            </w:pPr>
            <w:r w:rsidRPr="00B879CD">
              <w:rPr>
                <w:color w:val="000000"/>
                <w:sz w:val="20"/>
                <w:szCs w:val="20"/>
              </w:rPr>
              <w:t>Abest Power</w:t>
            </w:r>
          </w:p>
        </w:tc>
        <w:tc>
          <w:tcPr>
            <w:tcW w:w="1340" w:type="dxa"/>
            <w:tcBorders>
              <w:top w:val="nil"/>
              <w:left w:val="nil"/>
              <w:bottom w:val="single" w:sz="4" w:space="0" w:color="auto"/>
              <w:right w:val="nil"/>
            </w:tcBorders>
            <w:shd w:val="clear" w:color="auto" w:fill="auto"/>
            <w:noWrap/>
            <w:vAlign w:val="bottom"/>
            <w:hideMark/>
          </w:tcPr>
          <w:p w14:paraId="72659858" w14:textId="77777777" w:rsidR="00B82D3B" w:rsidRPr="00B879CD" w:rsidRDefault="00B82D3B" w:rsidP="00B82D3B">
            <w:pPr>
              <w:keepNext/>
              <w:keepLines/>
              <w:jc w:val="center"/>
              <w:rPr>
                <w:color w:val="000000"/>
                <w:sz w:val="20"/>
                <w:szCs w:val="20"/>
              </w:rPr>
            </w:pPr>
            <w:r w:rsidRPr="00B879CD">
              <w:rPr>
                <w:color w:val="000000"/>
                <w:sz w:val="20"/>
                <w:szCs w:val="20"/>
              </w:rPr>
              <w:t xml:space="preserve"> 288 </w:t>
            </w:r>
          </w:p>
        </w:tc>
        <w:tc>
          <w:tcPr>
            <w:tcW w:w="1420" w:type="dxa"/>
            <w:tcBorders>
              <w:top w:val="nil"/>
              <w:left w:val="nil"/>
              <w:bottom w:val="single" w:sz="4" w:space="0" w:color="auto"/>
              <w:right w:val="nil"/>
            </w:tcBorders>
            <w:shd w:val="clear" w:color="auto" w:fill="auto"/>
            <w:noWrap/>
            <w:vAlign w:val="bottom"/>
            <w:hideMark/>
          </w:tcPr>
          <w:p w14:paraId="3E92501F" w14:textId="77777777" w:rsidR="00B82D3B" w:rsidRPr="00B879CD" w:rsidRDefault="00B82D3B" w:rsidP="00B82D3B">
            <w:pPr>
              <w:keepNext/>
              <w:keepLines/>
              <w:jc w:val="right"/>
              <w:rPr>
                <w:color w:val="000000"/>
                <w:sz w:val="20"/>
                <w:szCs w:val="20"/>
              </w:rPr>
            </w:pPr>
            <w:r w:rsidRPr="00B879CD">
              <w:rPr>
                <w:color w:val="000000"/>
                <w:sz w:val="20"/>
                <w:szCs w:val="20"/>
              </w:rPr>
              <w:t xml:space="preserve"> 1,126 </w:t>
            </w:r>
          </w:p>
        </w:tc>
        <w:tc>
          <w:tcPr>
            <w:tcW w:w="1823" w:type="dxa"/>
            <w:tcBorders>
              <w:top w:val="nil"/>
              <w:left w:val="nil"/>
              <w:bottom w:val="single" w:sz="4" w:space="0" w:color="auto"/>
              <w:right w:val="nil"/>
            </w:tcBorders>
            <w:shd w:val="clear" w:color="auto" w:fill="auto"/>
            <w:noWrap/>
            <w:vAlign w:val="bottom"/>
            <w:hideMark/>
          </w:tcPr>
          <w:p w14:paraId="0E187B53" w14:textId="77777777" w:rsidR="00B82D3B" w:rsidRPr="00B879CD" w:rsidRDefault="00B82D3B" w:rsidP="00B82D3B">
            <w:pPr>
              <w:keepNext/>
              <w:keepLines/>
              <w:ind w:firstLine="600"/>
              <w:rPr>
                <w:color w:val="000000"/>
                <w:sz w:val="20"/>
                <w:szCs w:val="20"/>
              </w:rPr>
            </w:pPr>
            <w:r w:rsidRPr="00B879CD">
              <w:rPr>
                <w:color w:val="000000"/>
                <w:sz w:val="20"/>
                <w:szCs w:val="20"/>
              </w:rPr>
              <w:t>26%</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5C3FCC42" w14:textId="796EC8A2" w:rsidR="00B82D3B" w:rsidRPr="00B879CD" w:rsidRDefault="00B82D3B" w:rsidP="00B82D3B">
            <w:pPr>
              <w:keepNext/>
              <w:keepLines/>
              <w:jc w:val="right"/>
              <w:rPr>
                <w:color w:val="000000"/>
                <w:sz w:val="20"/>
                <w:szCs w:val="20"/>
              </w:rPr>
            </w:pPr>
          </w:p>
        </w:tc>
      </w:tr>
      <w:tr w:rsidR="00B82D3B" w:rsidRPr="00B879CD" w14:paraId="4A77B926"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102FA195" w14:textId="77777777" w:rsidR="00B82D3B" w:rsidRPr="00B879CD" w:rsidRDefault="00B82D3B" w:rsidP="00B82D3B">
            <w:pPr>
              <w:keepNext/>
              <w:keepLines/>
              <w:rPr>
                <w:color w:val="000000"/>
                <w:sz w:val="20"/>
                <w:szCs w:val="20"/>
              </w:rPr>
            </w:pPr>
            <w:r w:rsidRPr="00B879CD">
              <w:rPr>
                <w:color w:val="000000"/>
                <w:sz w:val="20"/>
                <w:szCs w:val="20"/>
              </w:rPr>
              <w:t>Palmco Power</w:t>
            </w:r>
          </w:p>
        </w:tc>
        <w:tc>
          <w:tcPr>
            <w:tcW w:w="1340" w:type="dxa"/>
            <w:tcBorders>
              <w:top w:val="nil"/>
              <w:left w:val="nil"/>
              <w:bottom w:val="single" w:sz="4" w:space="0" w:color="auto"/>
              <w:right w:val="nil"/>
            </w:tcBorders>
            <w:shd w:val="clear" w:color="auto" w:fill="auto"/>
            <w:noWrap/>
            <w:vAlign w:val="bottom"/>
            <w:hideMark/>
          </w:tcPr>
          <w:p w14:paraId="0E567F83" w14:textId="77777777" w:rsidR="00B82D3B" w:rsidRPr="00B879CD" w:rsidRDefault="00B82D3B" w:rsidP="00B82D3B">
            <w:pPr>
              <w:keepNext/>
              <w:keepLines/>
              <w:jc w:val="center"/>
              <w:rPr>
                <w:color w:val="000000"/>
                <w:sz w:val="20"/>
                <w:szCs w:val="20"/>
              </w:rPr>
            </w:pPr>
            <w:r w:rsidRPr="00B879CD">
              <w:rPr>
                <w:color w:val="000000"/>
                <w:sz w:val="20"/>
                <w:szCs w:val="20"/>
              </w:rPr>
              <w:t xml:space="preserve"> 788 </w:t>
            </w:r>
          </w:p>
        </w:tc>
        <w:tc>
          <w:tcPr>
            <w:tcW w:w="1420" w:type="dxa"/>
            <w:tcBorders>
              <w:top w:val="nil"/>
              <w:left w:val="nil"/>
              <w:bottom w:val="single" w:sz="4" w:space="0" w:color="auto"/>
              <w:right w:val="nil"/>
            </w:tcBorders>
            <w:shd w:val="clear" w:color="auto" w:fill="auto"/>
            <w:noWrap/>
            <w:vAlign w:val="bottom"/>
            <w:hideMark/>
          </w:tcPr>
          <w:p w14:paraId="276688C7" w14:textId="77777777" w:rsidR="00B82D3B" w:rsidRPr="00B879CD" w:rsidRDefault="00B82D3B" w:rsidP="00B82D3B">
            <w:pPr>
              <w:keepNext/>
              <w:keepLines/>
              <w:jc w:val="right"/>
              <w:rPr>
                <w:color w:val="000000"/>
                <w:sz w:val="20"/>
                <w:szCs w:val="20"/>
              </w:rPr>
            </w:pPr>
            <w:r w:rsidRPr="00B879CD">
              <w:rPr>
                <w:color w:val="000000"/>
                <w:sz w:val="20"/>
                <w:szCs w:val="20"/>
              </w:rPr>
              <w:t xml:space="preserve"> 3,151 </w:t>
            </w:r>
          </w:p>
        </w:tc>
        <w:tc>
          <w:tcPr>
            <w:tcW w:w="1823" w:type="dxa"/>
            <w:tcBorders>
              <w:top w:val="nil"/>
              <w:left w:val="nil"/>
              <w:bottom w:val="single" w:sz="4" w:space="0" w:color="auto"/>
              <w:right w:val="nil"/>
            </w:tcBorders>
            <w:shd w:val="clear" w:color="auto" w:fill="auto"/>
            <w:noWrap/>
            <w:vAlign w:val="bottom"/>
            <w:hideMark/>
          </w:tcPr>
          <w:p w14:paraId="2399F903" w14:textId="77777777" w:rsidR="00B82D3B" w:rsidRPr="00B879CD" w:rsidRDefault="00B82D3B" w:rsidP="00B82D3B">
            <w:pPr>
              <w:keepNext/>
              <w:keepLines/>
              <w:ind w:firstLine="600"/>
              <w:rPr>
                <w:color w:val="000000"/>
                <w:sz w:val="20"/>
                <w:szCs w:val="20"/>
              </w:rPr>
            </w:pPr>
            <w:r w:rsidRPr="00B879CD">
              <w:rPr>
                <w:color w:val="000000"/>
                <w:sz w:val="20"/>
                <w:szCs w:val="20"/>
              </w:rPr>
              <w:t>25%</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64F29CD6" w14:textId="2A13D894" w:rsidR="00B82D3B" w:rsidRPr="00B879CD" w:rsidRDefault="00B82D3B" w:rsidP="00B82D3B">
            <w:pPr>
              <w:keepNext/>
              <w:keepLines/>
              <w:jc w:val="right"/>
              <w:rPr>
                <w:color w:val="000000"/>
                <w:sz w:val="20"/>
                <w:szCs w:val="20"/>
              </w:rPr>
            </w:pPr>
          </w:p>
        </w:tc>
      </w:tr>
      <w:tr w:rsidR="00B82D3B" w:rsidRPr="00B879CD" w14:paraId="00AF7B33"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6E06C6DC" w14:textId="77777777" w:rsidR="00B82D3B" w:rsidRPr="00B879CD" w:rsidRDefault="00B82D3B" w:rsidP="00B82D3B">
            <w:pPr>
              <w:keepNext/>
              <w:keepLines/>
              <w:rPr>
                <w:color w:val="000000"/>
                <w:sz w:val="20"/>
                <w:szCs w:val="20"/>
              </w:rPr>
            </w:pPr>
            <w:r w:rsidRPr="00B879CD">
              <w:rPr>
                <w:color w:val="000000"/>
                <w:sz w:val="20"/>
                <w:szCs w:val="20"/>
              </w:rPr>
              <w:t>CT Gas &amp; Electric</w:t>
            </w:r>
          </w:p>
        </w:tc>
        <w:tc>
          <w:tcPr>
            <w:tcW w:w="1340" w:type="dxa"/>
            <w:tcBorders>
              <w:top w:val="nil"/>
              <w:left w:val="nil"/>
              <w:bottom w:val="single" w:sz="4" w:space="0" w:color="auto"/>
              <w:right w:val="nil"/>
            </w:tcBorders>
            <w:shd w:val="clear" w:color="auto" w:fill="auto"/>
            <w:noWrap/>
            <w:vAlign w:val="bottom"/>
            <w:hideMark/>
          </w:tcPr>
          <w:p w14:paraId="1507E0E2" w14:textId="77777777" w:rsidR="00B82D3B" w:rsidRPr="00B879CD" w:rsidRDefault="00B82D3B" w:rsidP="00B82D3B">
            <w:pPr>
              <w:keepNext/>
              <w:keepLines/>
              <w:jc w:val="center"/>
              <w:rPr>
                <w:color w:val="000000"/>
                <w:sz w:val="20"/>
                <w:szCs w:val="20"/>
              </w:rPr>
            </w:pPr>
            <w:r w:rsidRPr="00B879CD">
              <w:rPr>
                <w:color w:val="000000"/>
                <w:sz w:val="20"/>
                <w:szCs w:val="20"/>
              </w:rPr>
              <w:t xml:space="preserve"> 137 </w:t>
            </w:r>
          </w:p>
        </w:tc>
        <w:tc>
          <w:tcPr>
            <w:tcW w:w="1420" w:type="dxa"/>
            <w:tcBorders>
              <w:top w:val="nil"/>
              <w:left w:val="nil"/>
              <w:bottom w:val="single" w:sz="4" w:space="0" w:color="auto"/>
              <w:right w:val="nil"/>
            </w:tcBorders>
            <w:shd w:val="clear" w:color="auto" w:fill="auto"/>
            <w:noWrap/>
            <w:vAlign w:val="bottom"/>
            <w:hideMark/>
          </w:tcPr>
          <w:p w14:paraId="6A4AF46C" w14:textId="77777777" w:rsidR="00B82D3B" w:rsidRPr="00B879CD" w:rsidRDefault="00B82D3B" w:rsidP="00B82D3B">
            <w:pPr>
              <w:keepNext/>
              <w:keepLines/>
              <w:jc w:val="right"/>
              <w:rPr>
                <w:color w:val="000000"/>
                <w:sz w:val="20"/>
                <w:szCs w:val="20"/>
              </w:rPr>
            </w:pPr>
            <w:r w:rsidRPr="00B879CD">
              <w:rPr>
                <w:color w:val="000000"/>
                <w:sz w:val="20"/>
                <w:szCs w:val="20"/>
              </w:rPr>
              <w:t xml:space="preserve"> 614 </w:t>
            </w:r>
          </w:p>
        </w:tc>
        <w:tc>
          <w:tcPr>
            <w:tcW w:w="1823" w:type="dxa"/>
            <w:tcBorders>
              <w:top w:val="nil"/>
              <w:left w:val="nil"/>
              <w:bottom w:val="single" w:sz="4" w:space="0" w:color="auto"/>
              <w:right w:val="nil"/>
            </w:tcBorders>
            <w:shd w:val="clear" w:color="auto" w:fill="auto"/>
            <w:noWrap/>
            <w:vAlign w:val="bottom"/>
            <w:hideMark/>
          </w:tcPr>
          <w:p w14:paraId="588FC786" w14:textId="77777777" w:rsidR="00B82D3B" w:rsidRPr="00B879CD" w:rsidRDefault="00B82D3B" w:rsidP="00B82D3B">
            <w:pPr>
              <w:keepNext/>
              <w:keepLines/>
              <w:ind w:firstLine="600"/>
              <w:rPr>
                <w:color w:val="000000"/>
                <w:sz w:val="20"/>
                <w:szCs w:val="20"/>
              </w:rPr>
            </w:pPr>
            <w:r w:rsidRPr="00B879CD">
              <w:rPr>
                <w:color w:val="000000"/>
                <w:sz w:val="20"/>
                <w:szCs w:val="20"/>
              </w:rPr>
              <w:t>22%</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1EE635ED" w14:textId="566864A1" w:rsidR="00B82D3B" w:rsidRPr="00B879CD" w:rsidRDefault="00B82D3B" w:rsidP="00B82D3B">
            <w:pPr>
              <w:keepNext/>
              <w:keepLines/>
              <w:jc w:val="right"/>
              <w:rPr>
                <w:color w:val="000000"/>
                <w:sz w:val="20"/>
                <w:szCs w:val="20"/>
              </w:rPr>
            </w:pPr>
          </w:p>
        </w:tc>
      </w:tr>
      <w:tr w:rsidR="00B82D3B" w:rsidRPr="00B879CD" w14:paraId="63BE7307"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67160C8C" w14:textId="77777777" w:rsidR="00B82D3B" w:rsidRPr="00B879CD" w:rsidRDefault="00B82D3B" w:rsidP="00B82D3B">
            <w:pPr>
              <w:keepNext/>
              <w:keepLines/>
              <w:rPr>
                <w:color w:val="000000"/>
                <w:sz w:val="20"/>
                <w:szCs w:val="20"/>
              </w:rPr>
            </w:pPr>
            <w:r w:rsidRPr="00B879CD">
              <w:rPr>
                <w:color w:val="000000"/>
                <w:sz w:val="20"/>
                <w:szCs w:val="20"/>
              </w:rPr>
              <w:t>Clearview Electric, Inc.</w:t>
            </w:r>
          </w:p>
        </w:tc>
        <w:tc>
          <w:tcPr>
            <w:tcW w:w="1340" w:type="dxa"/>
            <w:tcBorders>
              <w:top w:val="nil"/>
              <w:left w:val="nil"/>
              <w:bottom w:val="single" w:sz="4" w:space="0" w:color="auto"/>
              <w:right w:val="nil"/>
            </w:tcBorders>
            <w:shd w:val="clear" w:color="auto" w:fill="auto"/>
            <w:noWrap/>
            <w:vAlign w:val="bottom"/>
            <w:hideMark/>
          </w:tcPr>
          <w:p w14:paraId="53EC3977" w14:textId="77777777" w:rsidR="00B82D3B" w:rsidRPr="00B879CD" w:rsidRDefault="00B82D3B" w:rsidP="00B82D3B">
            <w:pPr>
              <w:keepNext/>
              <w:keepLines/>
              <w:jc w:val="center"/>
              <w:rPr>
                <w:color w:val="000000"/>
                <w:sz w:val="20"/>
                <w:szCs w:val="20"/>
              </w:rPr>
            </w:pPr>
            <w:r w:rsidRPr="00B879CD">
              <w:rPr>
                <w:color w:val="000000"/>
                <w:sz w:val="20"/>
                <w:szCs w:val="20"/>
              </w:rPr>
              <w:t xml:space="preserve"> 479 </w:t>
            </w:r>
          </w:p>
        </w:tc>
        <w:tc>
          <w:tcPr>
            <w:tcW w:w="1420" w:type="dxa"/>
            <w:tcBorders>
              <w:top w:val="nil"/>
              <w:left w:val="nil"/>
              <w:bottom w:val="single" w:sz="4" w:space="0" w:color="auto"/>
              <w:right w:val="nil"/>
            </w:tcBorders>
            <w:shd w:val="clear" w:color="auto" w:fill="auto"/>
            <w:noWrap/>
            <w:vAlign w:val="bottom"/>
            <w:hideMark/>
          </w:tcPr>
          <w:p w14:paraId="28657109" w14:textId="77777777" w:rsidR="00B82D3B" w:rsidRPr="00B879CD" w:rsidRDefault="00B82D3B" w:rsidP="00B82D3B">
            <w:pPr>
              <w:keepNext/>
              <w:keepLines/>
              <w:jc w:val="right"/>
              <w:rPr>
                <w:color w:val="000000"/>
                <w:sz w:val="20"/>
                <w:szCs w:val="20"/>
              </w:rPr>
            </w:pPr>
            <w:r w:rsidRPr="00B879CD">
              <w:rPr>
                <w:color w:val="000000"/>
                <w:sz w:val="20"/>
                <w:szCs w:val="20"/>
              </w:rPr>
              <w:t xml:space="preserve"> 2,590 </w:t>
            </w:r>
          </w:p>
        </w:tc>
        <w:tc>
          <w:tcPr>
            <w:tcW w:w="1823" w:type="dxa"/>
            <w:tcBorders>
              <w:top w:val="nil"/>
              <w:left w:val="nil"/>
              <w:bottom w:val="single" w:sz="4" w:space="0" w:color="auto"/>
              <w:right w:val="nil"/>
            </w:tcBorders>
            <w:shd w:val="clear" w:color="auto" w:fill="auto"/>
            <w:noWrap/>
            <w:vAlign w:val="bottom"/>
            <w:hideMark/>
          </w:tcPr>
          <w:p w14:paraId="56AE21D6" w14:textId="77777777" w:rsidR="00B82D3B" w:rsidRPr="00B879CD" w:rsidRDefault="00B82D3B" w:rsidP="00B82D3B">
            <w:pPr>
              <w:keepNext/>
              <w:keepLines/>
              <w:ind w:firstLine="600"/>
              <w:rPr>
                <w:color w:val="000000"/>
                <w:sz w:val="20"/>
                <w:szCs w:val="20"/>
              </w:rPr>
            </w:pPr>
            <w:r w:rsidRPr="00B879CD">
              <w:rPr>
                <w:color w:val="000000"/>
                <w:sz w:val="20"/>
                <w:szCs w:val="20"/>
              </w:rPr>
              <w:t>18%</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7154F817" w14:textId="7DE95D89" w:rsidR="00B82D3B" w:rsidRPr="00B879CD" w:rsidRDefault="00B82D3B" w:rsidP="00B82D3B">
            <w:pPr>
              <w:keepNext/>
              <w:keepLines/>
              <w:jc w:val="right"/>
              <w:rPr>
                <w:color w:val="000000"/>
                <w:sz w:val="20"/>
                <w:szCs w:val="20"/>
              </w:rPr>
            </w:pPr>
          </w:p>
        </w:tc>
      </w:tr>
      <w:tr w:rsidR="00B82D3B" w:rsidRPr="00B879CD" w14:paraId="7B46125B"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1C4FCA4F" w14:textId="77777777" w:rsidR="00B82D3B" w:rsidRPr="00B879CD" w:rsidRDefault="00B82D3B" w:rsidP="00B82D3B">
            <w:pPr>
              <w:keepNext/>
              <w:keepLines/>
              <w:rPr>
                <w:color w:val="000000"/>
                <w:sz w:val="20"/>
                <w:szCs w:val="20"/>
              </w:rPr>
            </w:pPr>
            <w:r w:rsidRPr="00B879CD">
              <w:rPr>
                <w:color w:val="000000"/>
                <w:sz w:val="20"/>
                <w:szCs w:val="20"/>
              </w:rPr>
              <w:t>Starion Energy</w:t>
            </w:r>
          </w:p>
        </w:tc>
        <w:tc>
          <w:tcPr>
            <w:tcW w:w="1340" w:type="dxa"/>
            <w:tcBorders>
              <w:top w:val="nil"/>
              <w:left w:val="nil"/>
              <w:bottom w:val="single" w:sz="4" w:space="0" w:color="auto"/>
              <w:right w:val="nil"/>
            </w:tcBorders>
            <w:shd w:val="clear" w:color="auto" w:fill="auto"/>
            <w:noWrap/>
            <w:vAlign w:val="bottom"/>
            <w:hideMark/>
          </w:tcPr>
          <w:p w14:paraId="3C10E85B" w14:textId="77777777" w:rsidR="00B82D3B" w:rsidRPr="00B879CD" w:rsidRDefault="00B82D3B" w:rsidP="00B82D3B">
            <w:pPr>
              <w:keepNext/>
              <w:keepLines/>
              <w:jc w:val="center"/>
              <w:rPr>
                <w:color w:val="000000"/>
                <w:sz w:val="20"/>
                <w:szCs w:val="20"/>
              </w:rPr>
            </w:pPr>
            <w:r w:rsidRPr="00B879CD">
              <w:rPr>
                <w:color w:val="000000"/>
                <w:sz w:val="20"/>
                <w:szCs w:val="20"/>
              </w:rPr>
              <w:t xml:space="preserve"> 1,171 </w:t>
            </w:r>
          </w:p>
        </w:tc>
        <w:tc>
          <w:tcPr>
            <w:tcW w:w="1420" w:type="dxa"/>
            <w:tcBorders>
              <w:top w:val="nil"/>
              <w:left w:val="nil"/>
              <w:bottom w:val="single" w:sz="4" w:space="0" w:color="auto"/>
              <w:right w:val="nil"/>
            </w:tcBorders>
            <w:shd w:val="clear" w:color="auto" w:fill="auto"/>
            <w:noWrap/>
            <w:vAlign w:val="bottom"/>
            <w:hideMark/>
          </w:tcPr>
          <w:p w14:paraId="6FAEB29D" w14:textId="77777777" w:rsidR="00B82D3B" w:rsidRPr="00B879CD" w:rsidRDefault="00B82D3B" w:rsidP="00B82D3B">
            <w:pPr>
              <w:keepNext/>
              <w:keepLines/>
              <w:jc w:val="right"/>
              <w:rPr>
                <w:color w:val="000000"/>
                <w:sz w:val="20"/>
                <w:szCs w:val="20"/>
              </w:rPr>
            </w:pPr>
            <w:r w:rsidRPr="00B879CD">
              <w:rPr>
                <w:color w:val="000000"/>
                <w:sz w:val="20"/>
                <w:szCs w:val="20"/>
              </w:rPr>
              <w:t xml:space="preserve"> 6,342 </w:t>
            </w:r>
          </w:p>
        </w:tc>
        <w:tc>
          <w:tcPr>
            <w:tcW w:w="1823" w:type="dxa"/>
            <w:tcBorders>
              <w:top w:val="nil"/>
              <w:left w:val="nil"/>
              <w:bottom w:val="single" w:sz="4" w:space="0" w:color="auto"/>
              <w:right w:val="nil"/>
            </w:tcBorders>
            <w:shd w:val="clear" w:color="auto" w:fill="auto"/>
            <w:noWrap/>
            <w:vAlign w:val="bottom"/>
            <w:hideMark/>
          </w:tcPr>
          <w:p w14:paraId="1C071CC9" w14:textId="77777777" w:rsidR="00B82D3B" w:rsidRPr="00B879CD" w:rsidRDefault="00B82D3B" w:rsidP="00B82D3B">
            <w:pPr>
              <w:keepNext/>
              <w:keepLines/>
              <w:ind w:firstLine="600"/>
              <w:rPr>
                <w:color w:val="000000"/>
                <w:sz w:val="20"/>
                <w:szCs w:val="20"/>
              </w:rPr>
            </w:pPr>
            <w:r w:rsidRPr="00B879CD">
              <w:rPr>
                <w:color w:val="000000"/>
                <w:sz w:val="20"/>
                <w:szCs w:val="20"/>
              </w:rPr>
              <w:t>18%</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57E80649" w14:textId="7CB643EE" w:rsidR="00B82D3B" w:rsidRPr="00B879CD" w:rsidRDefault="00B82D3B" w:rsidP="00B82D3B">
            <w:pPr>
              <w:keepNext/>
              <w:keepLines/>
              <w:jc w:val="right"/>
              <w:rPr>
                <w:color w:val="000000"/>
                <w:sz w:val="20"/>
                <w:szCs w:val="20"/>
              </w:rPr>
            </w:pPr>
          </w:p>
        </w:tc>
      </w:tr>
      <w:tr w:rsidR="00B82D3B" w:rsidRPr="00B879CD" w14:paraId="43005632"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4A3B2638" w14:textId="77777777" w:rsidR="00B82D3B" w:rsidRPr="00B879CD" w:rsidRDefault="00B82D3B" w:rsidP="00B82D3B">
            <w:pPr>
              <w:keepNext/>
              <w:keepLines/>
              <w:rPr>
                <w:color w:val="000000"/>
                <w:sz w:val="20"/>
                <w:szCs w:val="20"/>
              </w:rPr>
            </w:pPr>
            <w:r w:rsidRPr="00B879CD">
              <w:rPr>
                <w:color w:val="000000"/>
                <w:sz w:val="20"/>
                <w:szCs w:val="20"/>
              </w:rPr>
              <w:t>Choice Energy</w:t>
            </w:r>
          </w:p>
        </w:tc>
        <w:tc>
          <w:tcPr>
            <w:tcW w:w="1340" w:type="dxa"/>
            <w:tcBorders>
              <w:top w:val="nil"/>
              <w:left w:val="nil"/>
              <w:bottom w:val="single" w:sz="4" w:space="0" w:color="auto"/>
              <w:right w:val="nil"/>
            </w:tcBorders>
            <w:shd w:val="clear" w:color="auto" w:fill="auto"/>
            <w:noWrap/>
            <w:vAlign w:val="bottom"/>
            <w:hideMark/>
          </w:tcPr>
          <w:p w14:paraId="5A36013E" w14:textId="77777777" w:rsidR="00B82D3B" w:rsidRPr="00B879CD" w:rsidRDefault="00B82D3B" w:rsidP="00B82D3B">
            <w:pPr>
              <w:keepNext/>
              <w:keepLines/>
              <w:jc w:val="center"/>
              <w:rPr>
                <w:color w:val="000000"/>
                <w:sz w:val="20"/>
                <w:szCs w:val="20"/>
              </w:rPr>
            </w:pPr>
            <w:r w:rsidRPr="00B879CD">
              <w:rPr>
                <w:color w:val="000000"/>
                <w:sz w:val="20"/>
                <w:szCs w:val="20"/>
              </w:rPr>
              <w:t xml:space="preserve"> 700 </w:t>
            </w:r>
          </w:p>
        </w:tc>
        <w:tc>
          <w:tcPr>
            <w:tcW w:w="1420" w:type="dxa"/>
            <w:tcBorders>
              <w:top w:val="nil"/>
              <w:left w:val="nil"/>
              <w:bottom w:val="single" w:sz="4" w:space="0" w:color="auto"/>
              <w:right w:val="nil"/>
            </w:tcBorders>
            <w:shd w:val="clear" w:color="auto" w:fill="auto"/>
            <w:noWrap/>
            <w:vAlign w:val="bottom"/>
            <w:hideMark/>
          </w:tcPr>
          <w:p w14:paraId="64DA8BA0" w14:textId="77777777" w:rsidR="00B82D3B" w:rsidRPr="00B879CD" w:rsidRDefault="00B82D3B" w:rsidP="00B82D3B">
            <w:pPr>
              <w:keepNext/>
              <w:keepLines/>
              <w:jc w:val="right"/>
              <w:rPr>
                <w:color w:val="000000"/>
                <w:sz w:val="20"/>
                <w:szCs w:val="20"/>
              </w:rPr>
            </w:pPr>
            <w:r w:rsidRPr="00B879CD">
              <w:rPr>
                <w:color w:val="000000"/>
                <w:sz w:val="20"/>
                <w:szCs w:val="20"/>
              </w:rPr>
              <w:t xml:space="preserve"> 4,532 </w:t>
            </w:r>
          </w:p>
        </w:tc>
        <w:tc>
          <w:tcPr>
            <w:tcW w:w="1823" w:type="dxa"/>
            <w:tcBorders>
              <w:top w:val="nil"/>
              <w:left w:val="nil"/>
              <w:bottom w:val="single" w:sz="4" w:space="0" w:color="auto"/>
              <w:right w:val="nil"/>
            </w:tcBorders>
            <w:shd w:val="clear" w:color="auto" w:fill="auto"/>
            <w:noWrap/>
            <w:vAlign w:val="bottom"/>
            <w:hideMark/>
          </w:tcPr>
          <w:p w14:paraId="2F2B6CBE" w14:textId="77777777" w:rsidR="00B82D3B" w:rsidRPr="00B879CD" w:rsidRDefault="00B82D3B" w:rsidP="00B82D3B">
            <w:pPr>
              <w:keepNext/>
              <w:keepLines/>
              <w:ind w:firstLine="600"/>
              <w:rPr>
                <w:color w:val="000000"/>
                <w:sz w:val="20"/>
                <w:szCs w:val="20"/>
              </w:rPr>
            </w:pPr>
            <w:r w:rsidRPr="00B879CD">
              <w:rPr>
                <w:color w:val="000000"/>
                <w:sz w:val="20"/>
                <w:szCs w:val="20"/>
              </w:rPr>
              <w:t>15%</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2FF772EA" w14:textId="775908B4" w:rsidR="00B82D3B" w:rsidRPr="00B879CD" w:rsidRDefault="00B82D3B" w:rsidP="00B82D3B">
            <w:pPr>
              <w:keepNext/>
              <w:keepLines/>
              <w:jc w:val="right"/>
              <w:rPr>
                <w:color w:val="000000"/>
                <w:sz w:val="20"/>
                <w:szCs w:val="20"/>
              </w:rPr>
            </w:pPr>
          </w:p>
        </w:tc>
      </w:tr>
      <w:tr w:rsidR="00B82D3B" w:rsidRPr="00B879CD" w14:paraId="1590DE50"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7EF7982C" w14:textId="77777777" w:rsidR="00B82D3B" w:rsidRPr="00B879CD" w:rsidRDefault="00B82D3B" w:rsidP="00B82D3B">
            <w:pPr>
              <w:keepNext/>
              <w:keepLines/>
              <w:rPr>
                <w:color w:val="000000"/>
                <w:sz w:val="20"/>
                <w:szCs w:val="20"/>
              </w:rPr>
            </w:pPr>
            <w:r w:rsidRPr="00B879CD">
              <w:rPr>
                <w:color w:val="000000"/>
                <w:sz w:val="20"/>
                <w:szCs w:val="20"/>
              </w:rPr>
              <w:t>Direct Energy Service, LLC</w:t>
            </w:r>
          </w:p>
        </w:tc>
        <w:tc>
          <w:tcPr>
            <w:tcW w:w="1340" w:type="dxa"/>
            <w:tcBorders>
              <w:top w:val="nil"/>
              <w:left w:val="nil"/>
              <w:bottom w:val="single" w:sz="4" w:space="0" w:color="auto"/>
              <w:right w:val="nil"/>
            </w:tcBorders>
            <w:shd w:val="clear" w:color="auto" w:fill="auto"/>
            <w:noWrap/>
            <w:vAlign w:val="bottom"/>
            <w:hideMark/>
          </w:tcPr>
          <w:p w14:paraId="7B95D248" w14:textId="77777777" w:rsidR="00B82D3B" w:rsidRPr="00B879CD" w:rsidRDefault="00B82D3B" w:rsidP="00B82D3B">
            <w:pPr>
              <w:keepNext/>
              <w:keepLines/>
              <w:jc w:val="center"/>
              <w:rPr>
                <w:color w:val="000000"/>
                <w:sz w:val="20"/>
                <w:szCs w:val="20"/>
              </w:rPr>
            </w:pPr>
            <w:r w:rsidRPr="00B879CD">
              <w:rPr>
                <w:color w:val="000000"/>
                <w:sz w:val="20"/>
                <w:szCs w:val="20"/>
              </w:rPr>
              <w:t xml:space="preserve"> 2,967 </w:t>
            </w:r>
          </w:p>
        </w:tc>
        <w:tc>
          <w:tcPr>
            <w:tcW w:w="1420" w:type="dxa"/>
            <w:tcBorders>
              <w:top w:val="nil"/>
              <w:left w:val="nil"/>
              <w:bottom w:val="single" w:sz="4" w:space="0" w:color="auto"/>
              <w:right w:val="nil"/>
            </w:tcBorders>
            <w:shd w:val="clear" w:color="auto" w:fill="auto"/>
            <w:noWrap/>
            <w:vAlign w:val="bottom"/>
            <w:hideMark/>
          </w:tcPr>
          <w:p w14:paraId="3DB10F90" w14:textId="77777777" w:rsidR="00B82D3B" w:rsidRPr="00B879CD" w:rsidRDefault="00B82D3B" w:rsidP="00B82D3B">
            <w:pPr>
              <w:keepNext/>
              <w:keepLines/>
              <w:jc w:val="right"/>
              <w:rPr>
                <w:color w:val="000000"/>
                <w:sz w:val="20"/>
                <w:szCs w:val="20"/>
              </w:rPr>
            </w:pPr>
            <w:r w:rsidRPr="00B879CD">
              <w:rPr>
                <w:color w:val="000000"/>
                <w:sz w:val="20"/>
                <w:szCs w:val="20"/>
              </w:rPr>
              <w:t xml:space="preserve"> 19,524 </w:t>
            </w:r>
          </w:p>
        </w:tc>
        <w:tc>
          <w:tcPr>
            <w:tcW w:w="1823" w:type="dxa"/>
            <w:tcBorders>
              <w:top w:val="nil"/>
              <w:left w:val="nil"/>
              <w:bottom w:val="single" w:sz="4" w:space="0" w:color="auto"/>
              <w:right w:val="nil"/>
            </w:tcBorders>
            <w:shd w:val="clear" w:color="auto" w:fill="auto"/>
            <w:noWrap/>
            <w:vAlign w:val="bottom"/>
            <w:hideMark/>
          </w:tcPr>
          <w:p w14:paraId="4CAEE772" w14:textId="77777777" w:rsidR="00B82D3B" w:rsidRPr="00B879CD" w:rsidRDefault="00B82D3B" w:rsidP="00B82D3B">
            <w:pPr>
              <w:keepNext/>
              <w:keepLines/>
              <w:ind w:firstLine="600"/>
              <w:rPr>
                <w:color w:val="000000"/>
                <w:sz w:val="20"/>
                <w:szCs w:val="20"/>
              </w:rPr>
            </w:pPr>
            <w:r w:rsidRPr="00B879CD">
              <w:rPr>
                <w:color w:val="000000"/>
                <w:sz w:val="20"/>
                <w:szCs w:val="20"/>
              </w:rPr>
              <w:t>15%</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6CF1DBF9" w14:textId="2DAFDC59" w:rsidR="00B82D3B" w:rsidRPr="00B879CD" w:rsidRDefault="00B82D3B" w:rsidP="00B82D3B">
            <w:pPr>
              <w:keepNext/>
              <w:keepLines/>
              <w:jc w:val="right"/>
              <w:rPr>
                <w:color w:val="000000"/>
                <w:sz w:val="20"/>
                <w:szCs w:val="20"/>
              </w:rPr>
            </w:pPr>
          </w:p>
        </w:tc>
      </w:tr>
      <w:tr w:rsidR="00B82D3B" w:rsidRPr="00B879CD" w14:paraId="7C6FEFDF"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71AD6A77" w14:textId="77777777" w:rsidR="00B82D3B" w:rsidRPr="00B879CD" w:rsidRDefault="00B82D3B" w:rsidP="00B82D3B">
            <w:pPr>
              <w:keepNext/>
              <w:keepLines/>
              <w:rPr>
                <w:color w:val="000000"/>
                <w:sz w:val="20"/>
                <w:szCs w:val="20"/>
              </w:rPr>
            </w:pPr>
            <w:r w:rsidRPr="00B879CD">
              <w:rPr>
                <w:color w:val="000000"/>
                <w:sz w:val="20"/>
                <w:szCs w:val="20"/>
              </w:rPr>
              <w:t>People's Power &amp; Gas</w:t>
            </w:r>
          </w:p>
        </w:tc>
        <w:tc>
          <w:tcPr>
            <w:tcW w:w="1340" w:type="dxa"/>
            <w:tcBorders>
              <w:top w:val="nil"/>
              <w:left w:val="nil"/>
              <w:bottom w:val="single" w:sz="4" w:space="0" w:color="auto"/>
              <w:right w:val="nil"/>
            </w:tcBorders>
            <w:shd w:val="clear" w:color="auto" w:fill="auto"/>
            <w:noWrap/>
            <w:vAlign w:val="bottom"/>
            <w:hideMark/>
          </w:tcPr>
          <w:p w14:paraId="24DA5B68" w14:textId="77777777" w:rsidR="00B82D3B" w:rsidRPr="00B879CD" w:rsidRDefault="00B82D3B" w:rsidP="00B82D3B">
            <w:pPr>
              <w:keepNext/>
              <w:keepLines/>
              <w:jc w:val="center"/>
              <w:rPr>
                <w:color w:val="000000"/>
                <w:sz w:val="20"/>
                <w:szCs w:val="20"/>
              </w:rPr>
            </w:pPr>
            <w:r w:rsidRPr="00B879CD">
              <w:rPr>
                <w:color w:val="000000"/>
                <w:sz w:val="20"/>
                <w:szCs w:val="20"/>
              </w:rPr>
              <w:t xml:space="preserve"> 88 </w:t>
            </w:r>
          </w:p>
        </w:tc>
        <w:tc>
          <w:tcPr>
            <w:tcW w:w="1420" w:type="dxa"/>
            <w:tcBorders>
              <w:top w:val="nil"/>
              <w:left w:val="nil"/>
              <w:bottom w:val="single" w:sz="4" w:space="0" w:color="auto"/>
              <w:right w:val="nil"/>
            </w:tcBorders>
            <w:shd w:val="clear" w:color="auto" w:fill="auto"/>
            <w:noWrap/>
            <w:vAlign w:val="bottom"/>
            <w:hideMark/>
          </w:tcPr>
          <w:p w14:paraId="67F16824" w14:textId="77777777" w:rsidR="00B82D3B" w:rsidRPr="00B879CD" w:rsidRDefault="00B82D3B" w:rsidP="00B82D3B">
            <w:pPr>
              <w:keepNext/>
              <w:keepLines/>
              <w:jc w:val="right"/>
              <w:rPr>
                <w:color w:val="000000"/>
                <w:sz w:val="20"/>
                <w:szCs w:val="20"/>
              </w:rPr>
            </w:pPr>
            <w:r w:rsidRPr="00B879CD">
              <w:rPr>
                <w:color w:val="000000"/>
                <w:sz w:val="20"/>
                <w:szCs w:val="20"/>
              </w:rPr>
              <w:t xml:space="preserve"> 583 </w:t>
            </w:r>
          </w:p>
        </w:tc>
        <w:tc>
          <w:tcPr>
            <w:tcW w:w="1823" w:type="dxa"/>
            <w:tcBorders>
              <w:top w:val="nil"/>
              <w:left w:val="nil"/>
              <w:bottom w:val="single" w:sz="4" w:space="0" w:color="auto"/>
              <w:right w:val="nil"/>
            </w:tcBorders>
            <w:shd w:val="clear" w:color="auto" w:fill="auto"/>
            <w:noWrap/>
            <w:vAlign w:val="bottom"/>
            <w:hideMark/>
          </w:tcPr>
          <w:p w14:paraId="3335123C" w14:textId="77777777" w:rsidR="00B82D3B" w:rsidRPr="00B879CD" w:rsidRDefault="00B82D3B" w:rsidP="00B82D3B">
            <w:pPr>
              <w:keepNext/>
              <w:keepLines/>
              <w:ind w:firstLine="600"/>
              <w:rPr>
                <w:color w:val="000000"/>
                <w:sz w:val="20"/>
                <w:szCs w:val="20"/>
              </w:rPr>
            </w:pPr>
            <w:r w:rsidRPr="00B879CD">
              <w:rPr>
                <w:color w:val="000000"/>
                <w:sz w:val="20"/>
                <w:szCs w:val="20"/>
              </w:rPr>
              <w:t>15%</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16094385" w14:textId="4EA51F05" w:rsidR="00B82D3B" w:rsidRPr="00B879CD" w:rsidRDefault="00B82D3B" w:rsidP="00B82D3B">
            <w:pPr>
              <w:keepNext/>
              <w:keepLines/>
              <w:jc w:val="right"/>
              <w:rPr>
                <w:color w:val="000000"/>
                <w:sz w:val="20"/>
                <w:szCs w:val="20"/>
              </w:rPr>
            </w:pPr>
          </w:p>
        </w:tc>
      </w:tr>
      <w:tr w:rsidR="00B82D3B" w:rsidRPr="00B879CD" w14:paraId="25A61943"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6D5244CE" w14:textId="77777777" w:rsidR="00B82D3B" w:rsidRPr="00B879CD" w:rsidRDefault="00B82D3B" w:rsidP="00B82D3B">
            <w:pPr>
              <w:keepNext/>
              <w:keepLines/>
              <w:rPr>
                <w:color w:val="000000"/>
                <w:sz w:val="20"/>
                <w:szCs w:val="20"/>
              </w:rPr>
            </w:pPr>
            <w:r w:rsidRPr="00B879CD">
              <w:rPr>
                <w:color w:val="000000"/>
                <w:sz w:val="20"/>
                <w:szCs w:val="20"/>
              </w:rPr>
              <w:t xml:space="preserve">Constellation    </w:t>
            </w:r>
          </w:p>
        </w:tc>
        <w:tc>
          <w:tcPr>
            <w:tcW w:w="1340" w:type="dxa"/>
            <w:tcBorders>
              <w:top w:val="nil"/>
              <w:left w:val="nil"/>
              <w:bottom w:val="single" w:sz="4" w:space="0" w:color="auto"/>
              <w:right w:val="nil"/>
            </w:tcBorders>
            <w:shd w:val="clear" w:color="auto" w:fill="auto"/>
            <w:noWrap/>
            <w:vAlign w:val="bottom"/>
            <w:hideMark/>
          </w:tcPr>
          <w:p w14:paraId="08268A5A" w14:textId="77777777" w:rsidR="00B82D3B" w:rsidRPr="00B879CD" w:rsidRDefault="00B82D3B" w:rsidP="00B82D3B">
            <w:pPr>
              <w:keepNext/>
              <w:keepLines/>
              <w:jc w:val="center"/>
              <w:rPr>
                <w:color w:val="000000"/>
                <w:sz w:val="20"/>
                <w:szCs w:val="20"/>
              </w:rPr>
            </w:pPr>
            <w:r w:rsidRPr="00B879CD">
              <w:rPr>
                <w:color w:val="000000"/>
                <w:sz w:val="20"/>
                <w:szCs w:val="20"/>
              </w:rPr>
              <w:t xml:space="preserve"> 1,066 </w:t>
            </w:r>
          </w:p>
        </w:tc>
        <w:tc>
          <w:tcPr>
            <w:tcW w:w="1420" w:type="dxa"/>
            <w:tcBorders>
              <w:top w:val="nil"/>
              <w:left w:val="nil"/>
              <w:bottom w:val="single" w:sz="4" w:space="0" w:color="auto"/>
              <w:right w:val="nil"/>
            </w:tcBorders>
            <w:shd w:val="clear" w:color="auto" w:fill="auto"/>
            <w:noWrap/>
            <w:vAlign w:val="bottom"/>
            <w:hideMark/>
          </w:tcPr>
          <w:p w14:paraId="49964762" w14:textId="77777777" w:rsidR="00B82D3B" w:rsidRPr="00B879CD" w:rsidRDefault="00B82D3B" w:rsidP="00B82D3B">
            <w:pPr>
              <w:keepNext/>
              <w:keepLines/>
              <w:jc w:val="right"/>
              <w:rPr>
                <w:color w:val="000000"/>
                <w:sz w:val="20"/>
                <w:szCs w:val="20"/>
              </w:rPr>
            </w:pPr>
            <w:r w:rsidRPr="00B879CD">
              <w:rPr>
                <w:color w:val="000000"/>
                <w:sz w:val="20"/>
                <w:szCs w:val="20"/>
              </w:rPr>
              <w:t xml:space="preserve"> 7,908 </w:t>
            </w:r>
          </w:p>
        </w:tc>
        <w:tc>
          <w:tcPr>
            <w:tcW w:w="1823" w:type="dxa"/>
            <w:tcBorders>
              <w:top w:val="nil"/>
              <w:left w:val="nil"/>
              <w:bottom w:val="single" w:sz="4" w:space="0" w:color="auto"/>
              <w:right w:val="nil"/>
            </w:tcBorders>
            <w:shd w:val="clear" w:color="auto" w:fill="auto"/>
            <w:noWrap/>
            <w:vAlign w:val="bottom"/>
            <w:hideMark/>
          </w:tcPr>
          <w:p w14:paraId="253D4648" w14:textId="77777777" w:rsidR="00B82D3B" w:rsidRPr="00B879CD" w:rsidRDefault="00B82D3B" w:rsidP="00B82D3B">
            <w:pPr>
              <w:keepNext/>
              <w:keepLines/>
              <w:ind w:firstLine="600"/>
              <w:rPr>
                <w:color w:val="000000"/>
                <w:sz w:val="20"/>
                <w:szCs w:val="20"/>
              </w:rPr>
            </w:pPr>
            <w:r w:rsidRPr="00B879CD">
              <w:rPr>
                <w:color w:val="000000"/>
                <w:sz w:val="20"/>
                <w:szCs w:val="20"/>
              </w:rPr>
              <w:t>13%</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3ABDFD2A" w14:textId="2FA3D0BE" w:rsidR="00B82D3B" w:rsidRPr="00B879CD" w:rsidRDefault="00B82D3B" w:rsidP="00B82D3B">
            <w:pPr>
              <w:keepNext/>
              <w:keepLines/>
              <w:jc w:val="right"/>
              <w:rPr>
                <w:color w:val="000000"/>
                <w:sz w:val="20"/>
                <w:szCs w:val="20"/>
              </w:rPr>
            </w:pPr>
          </w:p>
        </w:tc>
      </w:tr>
      <w:tr w:rsidR="00B82D3B" w:rsidRPr="00B879CD" w14:paraId="2D28301C"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7023F37B" w14:textId="77777777" w:rsidR="00B82D3B" w:rsidRPr="00B879CD" w:rsidRDefault="00B82D3B" w:rsidP="00B82D3B">
            <w:pPr>
              <w:keepNext/>
              <w:keepLines/>
              <w:rPr>
                <w:color w:val="000000"/>
                <w:sz w:val="20"/>
                <w:szCs w:val="20"/>
              </w:rPr>
            </w:pPr>
            <w:r w:rsidRPr="00B879CD">
              <w:rPr>
                <w:color w:val="000000"/>
                <w:sz w:val="20"/>
                <w:szCs w:val="20"/>
              </w:rPr>
              <w:t>Public Power &amp; Utility, Inc.</w:t>
            </w:r>
          </w:p>
        </w:tc>
        <w:tc>
          <w:tcPr>
            <w:tcW w:w="1340" w:type="dxa"/>
            <w:tcBorders>
              <w:top w:val="nil"/>
              <w:left w:val="nil"/>
              <w:bottom w:val="single" w:sz="4" w:space="0" w:color="auto"/>
              <w:right w:val="nil"/>
            </w:tcBorders>
            <w:shd w:val="clear" w:color="auto" w:fill="auto"/>
            <w:noWrap/>
            <w:vAlign w:val="bottom"/>
            <w:hideMark/>
          </w:tcPr>
          <w:p w14:paraId="2E40B537" w14:textId="77777777" w:rsidR="00B82D3B" w:rsidRPr="00B879CD" w:rsidRDefault="00B82D3B" w:rsidP="00B82D3B">
            <w:pPr>
              <w:keepNext/>
              <w:keepLines/>
              <w:jc w:val="center"/>
              <w:rPr>
                <w:color w:val="000000"/>
                <w:sz w:val="20"/>
                <w:szCs w:val="20"/>
              </w:rPr>
            </w:pPr>
            <w:r w:rsidRPr="00B879CD">
              <w:rPr>
                <w:color w:val="000000"/>
                <w:sz w:val="20"/>
                <w:szCs w:val="20"/>
              </w:rPr>
              <w:t xml:space="preserve"> 2,033 </w:t>
            </w:r>
          </w:p>
        </w:tc>
        <w:tc>
          <w:tcPr>
            <w:tcW w:w="1420" w:type="dxa"/>
            <w:tcBorders>
              <w:top w:val="nil"/>
              <w:left w:val="nil"/>
              <w:bottom w:val="single" w:sz="4" w:space="0" w:color="auto"/>
              <w:right w:val="nil"/>
            </w:tcBorders>
            <w:shd w:val="clear" w:color="auto" w:fill="auto"/>
            <w:noWrap/>
            <w:vAlign w:val="bottom"/>
            <w:hideMark/>
          </w:tcPr>
          <w:p w14:paraId="0374B874" w14:textId="77777777" w:rsidR="00B82D3B" w:rsidRPr="00B879CD" w:rsidRDefault="00B82D3B" w:rsidP="00B82D3B">
            <w:pPr>
              <w:keepNext/>
              <w:keepLines/>
              <w:jc w:val="right"/>
              <w:rPr>
                <w:color w:val="000000"/>
                <w:sz w:val="20"/>
                <w:szCs w:val="20"/>
              </w:rPr>
            </w:pPr>
            <w:r w:rsidRPr="00B879CD">
              <w:rPr>
                <w:color w:val="000000"/>
                <w:sz w:val="20"/>
                <w:szCs w:val="20"/>
              </w:rPr>
              <w:t xml:space="preserve"> 16,366 </w:t>
            </w:r>
          </w:p>
        </w:tc>
        <w:tc>
          <w:tcPr>
            <w:tcW w:w="1823" w:type="dxa"/>
            <w:tcBorders>
              <w:top w:val="nil"/>
              <w:left w:val="nil"/>
              <w:bottom w:val="single" w:sz="4" w:space="0" w:color="auto"/>
              <w:right w:val="nil"/>
            </w:tcBorders>
            <w:shd w:val="clear" w:color="auto" w:fill="auto"/>
            <w:noWrap/>
            <w:vAlign w:val="bottom"/>
            <w:hideMark/>
          </w:tcPr>
          <w:p w14:paraId="2FD4F9D5" w14:textId="77777777" w:rsidR="00B82D3B" w:rsidRPr="00B879CD" w:rsidRDefault="00B82D3B" w:rsidP="00B82D3B">
            <w:pPr>
              <w:keepNext/>
              <w:keepLines/>
              <w:ind w:firstLine="600"/>
              <w:rPr>
                <w:color w:val="000000"/>
                <w:sz w:val="20"/>
                <w:szCs w:val="20"/>
              </w:rPr>
            </w:pPr>
            <w:r w:rsidRPr="00B879CD">
              <w:rPr>
                <w:color w:val="000000"/>
                <w:sz w:val="20"/>
                <w:szCs w:val="20"/>
              </w:rPr>
              <w:t>12%</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188122FE" w14:textId="3A8BDF44" w:rsidR="00B82D3B" w:rsidRPr="00B879CD" w:rsidRDefault="00B82D3B" w:rsidP="00B82D3B">
            <w:pPr>
              <w:keepNext/>
              <w:keepLines/>
              <w:jc w:val="right"/>
              <w:rPr>
                <w:color w:val="000000"/>
                <w:sz w:val="20"/>
                <w:szCs w:val="20"/>
              </w:rPr>
            </w:pPr>
          </w:p>
        </w:tc>
      </w:tr>
      <w:tr w:rsidR="00B82D3B" w:rsidRPr="00B879CD" w14:paraId="731E763E"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79CA60BC" w14:textId="77777777" w:rsidR="00B82D3B" w:rsidRPr="00B879CD" w:rsidRDefault="00B82D3B" w:rsidP="00B82D3B">
            <w:pPr>
              <w:keepNext/>
              <w:keepLines/>
              <w:rPr>
                <w:color w:val="000000"/>
                <w:sz w:val="20"/>
                <w:szCs w:val="20"/>
              </w:rPr>
            </w:pPr>
            <w:r w:rsidRPr="00B879CD">
              <w:rPr>
                <w:color w:val="000000"/>
                <w:sz w:val="20"/>
                <w:szCs w:val="20"/>
              </w:rPr>
              <w:t>Perigee Energy</w:t>
            </w:r>
          </w:p>
        </w:tc>
        <w:tc>
          <w:tcPr>
            <w:tcW w:w="1340" w:type="dxa"/>
            <w:tcBorders>
              <w:top w:val="nil"/>
              <w:left w:val="nil"/>
              <w:bottom w:val="single" w:sz="4" w:space="0" w:color="auto"/>
              <w:right w:val="nil"/>
            </w:tcBorders>
            <w:shd w:val="clear" w:color="auto" w:fill="auto"/>
            <w:noWrap/>
            <w:vAlign w:val="bottom"/>
            <w:hideMark/>
          </w:tcPr>
          <w:p w14:paraId="63EDFFD6" w14:textId="77777777" w:rsidR="00B82D3B" w:rsidRPr="00B879CD" w:rsidRDefault="00B82D3B" w:rsidP="00B82D3B">
            <w:pPr>
              <w:keepNext/>
              <w:keepLines/>
              <w:jc w:val="center"/>
              <w:rPr>
                <w:color w:val="000000"/>
                <w:sz w:val="20"/>
                <w:szCs w:val="20"/>
              </w:rPr>
            </w:pPr>
            <w:r w:rsidRPr="00B879CD">
              <w:rPr>
                <w:color w:val="000000"/>
                <w:sz w:val="20"/>
                <w:szCs w:val="20"/>
              </w:rPr>
              <w:t xml:space="preserve"> 86 </w:t>
            </w:r>
          </w:p>
        </w:tc>
        <w:tc>
          <w:tcPr>
            <w:tcW w:w="1420" w:type="dxa"/>
            <w:tcBorders>
              <w:top w:val="nil"/>
              <w:left w:val="nil"/>
              <w:bottom w:val="single" w:sz="4" w:space="0" w:color="auto"/>
              <w:right w:val="nil"/>
            </w:tcBorders>
            <w:shd w:val="clear" w:color="auto" w:fill="auto"/>
            <w:noWrap/>
            <w:vAlign w:val="bottom"/>
            <w:hideMark/>
          </w:tcPr>
          <w:p w14:paraId="3C7C922E" w14:textId="77777777" w:rsidR="00B82D3B" w:rsidRPr="00B879CD" w:rsidRDefault="00B82D3B" w:rsidP="00B82D3B">
            <w:pPr>
              <w:keepNext/>
              <w:keepLines/>
              <w:jc w:val="right"/>
              <w:rPr>
                <w:color w:val="000000"/>
                <w:sz w:val="20"/>
                <w:szCs w:val="20"/>
              </w:rPr>
            </w:pPr>
            <w:r w:rsidRPr="00B879CD">
              <w:rPr>
                <w:color w:val="000000"/>
                <w:sz w:val="20"/>
                <w:szCs w:val="20"/>
              </w:rPr>
              <w:t xml:space="preserve"> 738 </w:t>
            </w:r>
          </w:p>
        </w:tc>
        <w:tc>
          <w:tcPr>
            <w:tcW w:w="1823" w:type="dxa"/>
            <w:tcBorders>
              <w:top w:val="nil"/>
              <w:left w:val="nil"/>
              <w:bottom w:val="single" w:sz="4" w:space="0" w:color="auto"/>
              <w:right w:val="nil"/>
            </w:tcBorders>
            <w:shd w:val="clear" w:color="auto" w:fill="auto"/>
            <w:noWrap/>
            <w:vAlign w:val="bottom"/>
            <w:hideMark/>
          </w:tcPr>
          <w:p w14:paraId="1200B599" w14:textId="77777777" w:rsidR="00B82D3B" w:rsidRPr="00B879CD" w:rsidRDefault="00B82D3B" w:rsidP="00B82D3B">
            <w:pPr>
              <w:keepNext/>
              <w:keepLines/>
              <w:ind w:firstLine="600"/>
              <w:rPr>
                <w:color w:val="000000"/>
                <w:sz w:val="20"/>
                <w:szCs w:val="20"/>
              </w:rPr>
            </w:pPr>
            <w:r w:rsidRPr="00B879CD">
              <w:rPr>
                <w:color w:val="000000"/>
                <w:sz w:val="20"/>
                <w:szCs w:val="20"/>
              </w:rPr>
              <w:t>12%</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40435B9D" w14:textId="2301102B" w:rsidR="00B82D3B" w:rsidRPr="00B879CD" w:rsidRDefault="00B82D3B" w:rsidP="00B82D3B">
            <w:pPr>
              <w:keepNext/>
              <w:keepLines/>
              <w:jc w:val="right"/>
              <w:rPr>
                <w:color w:val="000000"/>
                <w:sz w:val="20"/>
                <w:szCs w:val="20"/>
              </w:rPr>
            </w:pPr>
          </w:p>
        </w:tc>
      </w:tr>
      <w:tr w:rsidR="00B82D3B" w:rsidRPr="00B879CD" w14:paraId="2BE2E9D3"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72AB0B0D" w14:textId="77777777" w:rsidR="00B82D3B" w:rsidRPr="00B879CD" w:rsidRDefault="00B82D3B" w:rsidP="00B82D3B">
            <w:pPr>
              <w:keepNext/>
              <w:keepLines/>
              <w:rPr>
                <w:color w:val="000000"/>
                <w:sz w:val="20"/>
                <w:szCs w:val="20"/>
              </w:rPr>
            </w:pPr>
            <w:r w:rsidRPr="00B879CD">
              <w:rPr>
                <w:color w:val="000000"/>
                <w:sz w:val="20"/>
                <w:szCs w:val="20"/>
              </w:rPr>
              <w:t>Xoom Energy</w:t>
            </w:r>
          </w:p>
        </w:tc>
        <w:tc>
          <w:tcPr>
            <w:tcW w:w="1340" w:type="dxa"/>
            <w:tcBorders>
              <w:top w:val="nil"/>
              <w:left w:val="nil"/>
              <w:bottom w:val="single" w:sz="4" w:space="0" w:color="auto"/>
              <w:right w:val="nil"/>
            </w:tcBorders>
            <w:shd w:val="clear" w:color="auto" w:fill="auto"/>
            <w:noWrap/>
            <w:vAlign w:val="bottom"/>
            <w:hideMark/>
          </w:tcPr>
          <w:p w14:paraId="26D3EC88" w14:textId="77777777" w:rsidR="00B82D3B" w:rsidRPr="00B879CD" w:rsidRDefault="00B82D3B" w:rsidP="00B82D3B">
            <w:pPr>
              <w:keepNext/>
              <w:keepLines/>
              <w:jc w:val="center"/>
              <w:rPr>
                <w:color w:val="000000"/>
                <w:sz w:val="20"/>
                <w:szCs w:val="20"/>
              </w:rPr>
            </w:pPr>
            <w:r w:rsidRPr="00B879CD">
              <w:rPr>
                <w:color w:val="000000"/>
                <w:sz w:val="20"/>
                <w:szCs w:val="20"/>
              </w:rPr>
              <w:t xml:space="preserve"> 133 </w:t>
            </w:r>
          </w:p>
        </w:tc>
        <w:tc>
          <w:tcPr>
            <w:tcW w:w="1420" w:type="dxa"/>
            <w:tcBorders>
              <w:top w:val="nil"/>
              <w:left w:val="nil"/>
              <w:bottom w:val="single" w:sz="4" w:space="0" w:color="auto"/>
              <w:right w:val="nil"/>
            </w:tcBorders>
            <w:shd w:val="clear" w:color="auto" w:fill="auto"/>
            <w:noWrap/>
            <w:vAlign w:val="bottom"/>
            <w:hideMark/>
          </w:tcPr>
          <w:p w14:paraId="2B25EC28" w14:textId="77777777" w:rsidR="00B82D3B" w:rsidRPr="00B879CD" w:rsidRDefault="00B82D3B" w:rsidP="00B82D3B">
            <w:pPr>
              <w:keepNext/>
              <w:keepLines/>
              <w:jc w:val="right"/>
              <w:rPr>
                <w:color w:val="000000"/>
                <w:sz w:val="20"/>
                <w:szCs w:val="20"/>
              </w:rPr>
            </w:pPr>
            <w:r w:rsidRPr="00B879CD">
              <w:rPr>
                <w:color w:val="000000"/>
                <w:sz w:val="20"/>
                <w:szCs w:val="20"/>
              </w:rPr>
              <w:t xml:space="preserve"> 1,273 </w:t>
            </w:r>
          </w:p>
        </w:tc>
        <w:tc>
          <w:tcPr>
            <w:tcW w:w="1823" w:type="dxa"/>
            <w:tcBorders>
              <w:top w:val="nil"/>
              <w:left w:val="nil"/>
              <w:bottom w:val="single" w:sz="4" w:space="0" w:color="auto"/>
              <w:right w:val="nil"/>
            </w:tcBorders>
            <w:shd w:val="clear" w:color="auto" w:fill="auto"/>
            <w:noWrap/>
            <w:vAlign w:val="bottom"/>
            <w:hideMark/>
          </w:tcPr>
          <w:p w14:paraId="68E190B2" w14:textId="77777777" w:rsidR="00B82D3B" w:rsidRPr="00B879CD" w:rsidRDefault="00B82D3B" w:rsidP="00B82D3B">
            <w:pPr>
              <w:keepNext/>
              <w:keepLines/>
              <w:ind w:firstLine="600"/>
              <w:rPr>
                <w:color w:val="000000"/>
                <w:sz w:val="20"/>
                <w:szCs w:val="20"/>
              </w:rPr>
            </w:pPr>
            <w:r w:rsidRPr="00B879CD">
              <w:rPr>
                <w:color w:val="000000"/>
                <w:sz w:val="20"/>
                <w:szCs w:val="20"/>
              </w:rPr>
              <w:t>10%</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3078F886" w14:textId="7AD5FAA3" w:rsidR="00B82D3B" w:rsidRPr="00B879CD" w:rsidRDefault="00B82D3B" w:rsidP="00B82D3B">
            <w:pPr>
              <w:keepNext/>
              <w:keepLines/>
              <w:jc w:val="right"/>
              <w:rPr>
                <w:color w:val="000000"/>
                <w:sz w:val="20"/>
                <w:szCs w:val="20"/>
              </w:rPr>
            </w:pPr>
          </w:p>
        </w:tc>
      </w:tr>
      <w:tr w:rsidR="00B82D3B" w:rsidRPr="00B879CD" w14:paraId="25584027"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3B30FF85" w14:textId="77777777" w:rsidR="00B82D3B" w:rsidRPr="00B879CD" w:rsidRDefault="00B82D3B" w:rsidP="00B82D3B">
            <w:pPr>
              <w:keepNext/>
              <w:keepLines/>
              <w:rPr>
                <w:color w:val="000000"/>
                <w:sz w:val="20"/>
                <w:szCs w:val="20"/>
              </w:rPr>
            </w:pPr>
            <w:r w:rsidRPr="00B879CD">
              <w:rPr>
                <w:color w:val="000000"/>
                <w:sz w:val="20"/>
                <w:szCs w:val="20"/>
              </w:rPr>
              <w:t>Verde Energy</w:t>
            </w:r>
          </w:p>
        </w:tc>
        <w:tc>
          <w:tcPr>
            <w:tcW w:w="1340" w:type="dxa"/>
            <w:tcBorders>
              <w:top w:val="nil"/>
              <w:left w:val="nil"/>
              <w:bottom w:val="single" w:sz="4" w:space="0" w:color="auto"/>
              <w:right w:val="nil"/>
            </w:tcBorders>
            <w:shd w:val="clear" w:color="auto" w:fill="auto"/>
            <w:noWrap/>
            <w:vAlign w:val="bottom"/>
            <w:hideMark/>
          </w:tcPr>
          <w:p w14:paraId="61C7702D" w14:textId="77777777" w:rsidR="00B82D3B" w:rsidRPr="00B879CD" w:rsidRDefault="00B82D3B" w:rsidP="00B82D3B">
            <w:pPr>
              <w:keepNext/>
              <w:keepLines/>
              <w:jc w:val="center"/>
              <w:rPr>
                <w:color w:val="000000"/>
                <w:sz w:val="20"/>
                <w:szCs w:val="20"/>
              </w:rPr>
            </w:pPr>
            <w:r w:rsidRPr="00B879CD">
              <w:rPr>
                <w:color w:val="000000"/>
                <w:sz w:val="20"/>
                <w:szCs w:val="20"/>
              </w:rPr>
              <w:t xml:space="preserve"> 586 </w:t>
            </w:r>
          </w:p>
        </w:tc>
        <w:tc>
          <w:tcPr>
            <w:tcW w:w="1420" w:type="dxa"/>
            <w:tcBorders>
              <w:top w:val="nil"/>
              <w:left w:val="nil"/>
              <w:bottom w:val="single" w:sz="4" w:space="0" w:color="auto"/>
              <w:right w:val="nil"/>
            </w:tcBorders>
            <w:shd w:val="clear" w:color="auto" w:fill="auto"/>
            <w:noWrap/>
            <w:vAlign w:val="bottom"/>
            <w:hideMark/>
          </w:tcPr>
          <w:p w14:paraId="3B27468A" w14:textId="77777777" w:rsidR="00B82D3B" w:rsidRPr="00B879CD" w:rsidRDefault="00B82D3B" w:rsidP="00B82D3B">
            <w:pPr>
              <w:keepNext/>
              <w:keepLines/>
              <w:jc w:val="right"/>
              <w:rPr>
                <w:color w:val="000000"/>
                <w:sz w:val="20"/>
                <w:szCs w:val="20"/>
              </w:rPr>
            </w:pPr>
            <w:r w:rsidRPr="00B879CD">
              <w:rPr>
                <w:color w:val="000000"/>
                <w:sz w:val="20"/>
                <w:szCs w:val="20"/>
              </w:rPr>
              <w:t xml:space="preserve"> 5,798 </w:t>
            </w:r>
          </w:p>
        </w:tc>
        <w:tc>
          <w:tcPr>
            <w:tcW w:w="1823" w:type="dxa"/>
            <w:tcBorders>
              <w:top w:val="nil"/>
              <w:left w:val="nil"/>
              <w:bottom w:val="single" w:sz="4" w:space="0" w:color="auto"/>
              <w:right w:val="nil"/>
            </w:tcBorders>
            <w:shd w:val="clear" w:color="auto" w:fill="auto"/>
            <w:noWrap/>
            <w:vAlign w:val="bottom"/>
            <w:hideMark/>
          </w:tcPr>
          <w:p w14:paraId="6CC9EDF4" w14:textId="77777777" w:rsidR="00B82D3B" w:rsidRPr="00B879CD" w:rsidRDefault="00B82D3B" w:rsidP="00B82D3B">
            <w:pPr>
              <w:keepNext/>
              <w:keepLines/>
              <w:ind w:firstLine="600"/>
              <w:rPr>
                <w:color w:val="000000"/>
                <w:sz w:val="20"/>
                <w:szCs w:val="20"/>
              </w:rPr>
            </w:pPr>
            <w:r w:rsidRPr="00B879CD">
              <w:rPr>
                <w:color w:val="000000"/>
                <w:sz w:val="20"/>
                <w:szCs w:val="20"/>
              </w:rPr>
              <w:t>10%</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19BA90F8" w14:textId="7DFD482E" w:rsidR="00B82D3B" w:rsidRPr="00B879CD" w:rsidRDefault="00B82D3B" w:rsidP="00B82D3B">
            <w:pPr>
              <w:keepNext/>
              <w:keepLines/>
              <w:jc w:val="right"/>
              <w:rPr>
                <w:color w:val="000000"/>
                <w:sz w:val="20"/>
                <w:szCs w:val="20"/>
              </w:rPr>
            </w:pPr>
          </w:p>
        </w:tc>
      </w:tr>
      <w:tr w:rsidR="00B82D3B" w:rsidRPr="00B879CD" w14:paraId="376A41CF"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45A1EBA3" w14:textId="77777777" w:rsidR="00B82D3B" w:rsidRPr="00B879CD" w:rsidRDefault="00B82D3B" w:rsidP="00B82D3B">
            <w:pPr>
              <w:keepNext/>
              <w:keepLines/>
              <w:rPr>
                <w:color w:val="000000"/>
                <w:sz w:val="20"/>
                <w:szCs w:val="20"/>
              </w:rPr>
            </w:pPr>
            <w:r w:rsidRPr="00B879CD">
              <w:rPr>
                <w:color w:val="000000"/>
                <w:sz w:val="20"/>
                <w:szCs w:val="20"/>
              </w:rPr>
              <w:t>Spark Energy</w:t>
            </w:r>
          </w:p>
        </w:tc>
        <w:tc>
          <w:tcPr>
            <w:tcW w:w="1340" w:type="dxa"/>
            <w:tcBorders>
              <w:top w:val="nil"/>
              <w:left w:val="nil"/>
              <w:bottom w:val="single" w:sz="4" w:space="0" w:color="auto"/>
              <w:right w:val="nil"/>
            </w:tcBorders>
            <w:shd w:val="clear" w:color="auto" w:fill="auto"/>
            <w:noWrap/>
            <w:vAlign w:val="bottom"/>
            <w:hideMark/>
          </w:tcPr>
          <w:p w14:paraId="6FD9B363" w14:textId="77777777" w:rsidR="00B82D3B" w:rsidRPr="00B879CD" w:rsidRDefault="00B82D3B" w:rsidP="00B82D3B">
            <w:pPr>
              <w:keepNext/>
              <w:keepLines/>
              <w:jc w:val="center"/>
              <w:rPr>
                <w:color w:val="000000"/>
                <w:sz w:val="20"/>
                <w:szCs w:val="20"/>
              </w:rPr>
            </w:pPr>
            <w:r w:rsidRPr="00B879CD">
              <w:rPr>
                <w:color w:val="000000"/>
                <w:sz w:val="20"/>
                <w:szCs w:val="20"/>
              </w:rPr>
              <w:t xml:space="preserve"> 94 </w:t>
            </w:r>
          </w:p>
        </w:tc>
        <w:tc>
          <w:tcPr>
            <w:tcW w:w="1420" w:type="dxa"/>
            <w:tcBorders>
              <w:top w:val="nil"/>
              <w:left w:val="nil"/>
              <w:bottom w:val="single" w:sz="4" w:space="0" w:color="auto"/>
              <w:right w:val="nil"/>
            </w:tcBorders>
            <w:shd w:val="clear" w:color="auto" w:fill="auto"/>
            <w:noWrap/>
            <w:vAlign w:val="bottom"/>
            <w:hideMark/>
          </w:tcPr>
          <w:p w14:paraId="0DC3E1BE" w14:textId="77777777" w:rsidR="00B82D3B" w:rsidRPr="00B879CD" w:rsidRDefault="00B82D3B" w:rsidP="00B82D3B">
            <w:pPr>
              <w:keepNext/>
              <w:keepLines/>
              <w:jc w:val="right"/>
              <w:rPr>
                <w:color w:val="000000"/>
                <w:sz w:val="20"/>
                <w:szCs w:val="20"/>
              </w:rPr>
            </w:pPr>
            <w:r w:rsidRPr="00B879CD">
              <w:rPr>
                <w:color w:val="000000"/>
                <w:sz w:val="20"/>
                <w:szCs w:val="20"/>
              </w:rPr>
              <w:t xml:space="preserve"> 978 </w:t>
            </w:r>
          </w:p>
        </w:tc>
        <w:tc>
          <w:tcPr>
            <w:tcW w:w="1823" w:type="dxa"/>
            <w:tcBorders>
              <w:top w:val="nil"/>
              <w:left w:val="nil"/>
              <w:bottom w:val="single" w:sz="4" w:space="0" w:color="auto"/>
              <w:right w:val="nil"/>
            </w:tcBorders>
            <w:shd w:val="clear" w:color="auto" w:fill="auto"/>
            <w:noWrap/>
            <w:vAlign w:val="bottom"/>
            <w:hideMark/>
          </w:tcPr>
          <w:p w14:paraId="2EB7E468" w14:textId="77777777" w:rsidR="00B82D3B" w:rsidRPr="00B879CD" w:rsidRDefault="00B82D3B" w:rsidP="00B82D3B">
            <w:pPr>
              <w:keepNext/>
              <w:keepLines/>
              <w:ind w:firstLine="600"/>
              <w:rPr>
                <w:color w:val="000000"/>
                <w:sz w:val="20"/>
                <w:szCs w:val="20"/>
              </w:rPr>
            </w:pPr>
            <w:r w:rsidRPr="00B879CD">
              <w:rPr>
                <w:color w:val="000000"/>
                <w:sz w:val="20"/>
                <w:szCs w:val="20"/>
              </w:rPr>
              <w:t>10%</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5FC22DF7" w14:textId="78C70E69" w:rsidR="00B82D3B" w:rsidRPr="00B879CD" w:rsidRDefault="00B82D3B" w:rsidP="00B82D3B">
            <w:pPr>
              <w:keepNext/>
              <w:keepLines/>
              <w:jc w:val="right"/>
              <w:rPr>
                <w:color w:val="000000"/>
                <w:sz w:val="20"/>
                <w:szCs w:val="20"/>
              </w:rPr>
            </w:pPr>
          </w:p>
        </w:tc>
      </w:tr>
      <w:tr w:rsidR="00B82D3B" w:rsidRPr="00B879CD" w14:paraId="5E42F9FF"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026B7D51" w14:textId="77777777" w:rsidR="00B82D3B" w:rsidRPr="00B879CD" w:rsidRDefault="00B82D3B" w:rsidP="00B82D3B">
            <w:pPr>
              <w:keepNext/>
              <w:keepLines/>
              <w:rPr>
                <w:b/>
                <w:bCs/>
                <w:color w:val="000000"/>
                <w:sz w:val="20"/>
                <w:szCs w:val="20"/>
              </w:rPr>
            </w:pPr>
            <w:r w:rsidRPr="00B879CD">
              <w:rPr>
                <w:b/>
                <w:bCs/>
                <w:color w:val="000000"/>
                <w:sz w:val="20"/>
                <w:szCs w:val="20"/>
              </w:rPr>
              <w:t>Total in UI Territory</w:t>
            </w:r>
          </w:p>
        </w:tc>
        <w:tc>
          <w:tcPr>
            <w:tcW w:w="1340" w:type="dxa"/>
            <w:tcBorders>
              <w:top w:val="nil"/>
              <w:left w:val="nil"/>
              <w:bottom w:val="single" w:sz="4" w:space="0" w:color="auto"/>
              <w:right w:val="nil"/>
            </w:tcBorders>
            <w:shd w:val="clear" w:color="auto" w:fill="auto"/>
            <w:noWrap/>
            <w:vAlign w:val="bottom"/>
            <w:hideMark/>
          </w:tcPr>
          <w:p w14:paraId="70B33B1A" w14:textId="77777777" w:rsidR="00B82D3B" w:rsidRPr="00B879CD" w:rsidRDefault="00B82D3B" w:rsidP="00B82D3B">
            <w:pPr>
              <w:keepNext/>
              <w:keepLines/>
              <w:jc w:val="center"/>
              <w:rPr>
                <w:b/>
                <w:bCs/>
                <w:color w:val="000000"/>
                <w:sz w:val="20"/>
                <w:szCs w:val="20"/>
              </w:rPr>
            </w:pPr>
            <w:r w:rsidRPr="00B879CD">
              <w:rPr>
                <w:b/>
                <w:bCs/>
                <w:color w:val="000000"/>
                <w:sz w:val="20"/>
                <w:szCs w:val="20"/>
              </w:rPr>
              <w:t xml:space="preserve"> 24,848 </w:t>
            </w:r>
          </w:p>
        </w:tc>
        <w:tc>
          <w:tcPr>
            <w:tcW w:w="1420" w:type="dxa"/>
            <w:tcBorders>
              <w:top w:val="nil"/>
              <w:left w:val="nil"/>
              <w:bottom w:val="single" w:sz="4" w:space="0" w:color="auto"/>
              <w:right w:val="nil"/>
            </w:tcBorders>
            <w:shd w:val="clear" w:color="auto" w:fill="auto"/>
            <w:noWrap/>
            <w:vAlign w:val="bottom"/>
            <w:hideMark/>
          </w:tcPr>
          <w:p w14:paraId="26EF5ADF" w14:textId="77777777" w:rsidR="00B82D3B" w:rsidRPr="00B879CD" w:rsidRDefault="00B82D3B" w:rsidP="00B82D3B">
            <w:pPr>
              <w:keepNext/>
              <w:keepLines/>
              <w:jc w:val="right"/>
              <w:rPr>
                <w:b/>
                <w:bCs/>
                <w:color w:val="000000"/>
                <w:sz w:val="20"/>
                <w:szCs w:val="20"/>
              </w:rPr>
            </w:pPr>
            <w:r w:rsidRPr="00B879CD">
              <w:rPr>
                <w:b/>
                <w:bCs/>
                <w:color w:val="000000"/>
                <w:sz w:val="20"/>
                <w:szCs w:val="20"/>
              </w:rPr>
              <w:t xml:space="preserve"> 287,755 </w:t>
            </w:r>
          </w:p>
        </w:tc>
        <w:tc>
          <w:tcPr>
            <w:tcW w:w="1823" w:type="dxa"/>
            <w:tcBorders>
              <w:top w:val="nil"/>
              <w:left w:val="nil"/>
              <w:bottom w:val="single" w:sz="4" w:space="0" w:color="auto"/>
              <w:right w:val="nil"/>
            </w:tcBorders>
            <w:shd w:val="clear" w:color="auto" w:fill="auto"/>
            <w:noWrap/>
            <w:vAlign w:val="bottom"/>
            <w:hideMark/>
          </w:tcPr>
          <w:p w14:paraId="477DE252" w14:textId="77777777" w:rsidR="00B82D3B" w:rsidRPr="00B879CD" w:rsidRDefault="00B82D3B" w:rsidP="00B82D3B">
            <w:pPr>
              <w:keepNext/>
              <w:keepLines/>
              <w:ind w:firstLine="650"/>
              <w:rPr>
                <w:b/>
                <w:bCs/>
                <w:color w:val="000000"/>
                <w:sz w:val="20"/>
                <w:szCs w:val="20"/>
              </w:rPr>
            </w:pPr>
            <w:r w:rsidRPr="00B879CD">
              <w:rPr>
                <w:b/>
                <w:bCs/>
                <w:color w:val="000000"/>
                <w:sz w:val="20"/>
                <w:szCs w:val="20"/>
              </w:rPr>
              <w:t>9%</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43603E4D" w14:textId="0780BC2C" w:rsidR="00B82D3B" w:rsidRPr="00B879CD" w:rsidRDefault="00B82D3B" w:rsidP="00B82D3B">
            <w:pPr>
              <w:keepNext/>
              <w:keepLines/>
              <w:ind w:firstLine="1083"/>
              <w:rPr>
                <w:b/>
                <w:bCs/>
                <w:color w:val="000000"/>
                <w:sz w:val="20"/>
                <w:szCs w:val="20"/>
              </w:rPr>
            </w:pPr>
          </w:p>
        </w:tc>
      </w:tr>
      <w:tr w:rsidR="00B82D3B" w:rsidRPr="00B879CD" w14:paraId="50E6FEEC"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4A7D864D" w14:textId="77777777" w:rsidR="00B82D3B" w:rsidRPr="00B879CD" w:rsidRDefault="00B82D3B" w:rsidP="00B82D3B">
            <w:pPr>
              <w:keepNext/>
              <w:keepLines/>
              <w:rPr>
                <w:color w:val="000000"/>
                <w:sz w:val="20"/>
                <w:szCs w:val="20"/>
              </w:rPr>
            </w:pPr>
            <w:r w:rsidRPr="00B879CD">
              <w:rPr>
                <w:color w:val="000000"/>
                <w:sz w:val="20"/>
                <w:szCs w:val="20"/>
              </w:rPr>
              <w:t>HOP Energy</w:t>
            </w:r>
          </w:p>
        </w:tc>
        <w:tc>
          <w:tcPr>
            <w:tcW w:w="1340" w:type="dxa"/>
            <w:tcBorders>
              <w:top w:val="nil"/>
              <w:left w:val="nil"/>
              <w:bottom w:val="single" w:sz="4" w:space="0" w:color="auto"/>
              <w:right w:val="nil"/>
            </w:tcBorders>
            <w:shd w:val="clear" w:color="auto" w:fill="auto"/>
            <w:noWrap/>
            <w:vAlign w:val="bottom"/>
            <w:hideMark/>
          </w:tcPr>
          <w:p w14:paraId="4C960992" w14:textId="77777777" w:rsidR="00B82D3B" w:rsidRPr="00B879CD" w:rsidRDefault="00B82D3B" w:rsidP="00B82D3B">
            <w:pPr>
              <w:keepNext/>
              <w:keepLines/>
              <w:jc w:val="center"/>
              <w:rPr>
                <w:color w:val="000000"/>
                <w:sz w:val="20"/>
                <w:szCs w:val="20"/>
              </w:rPr>
            </w:pPr>
            <w:r w:rsidRPr="00B879CD">
              <w:rPr>
                <w:color w:val="000000"/>
                <w:sz w:val="20"/>
                <w:szCs w:val="20"/>
              </w:rPr>
              <w:t xml:space="preserve"> 83 </w:t>
            </w:r>
          </w:p>
        </w:tc>
        <w:tc>
          <w:tcPr>
            <w:tcW w:w="1420" w:type="dxa"/>
            <w:tcBorders>
              <w:top w:val="nil"/>
              <w:left w:val="nil"/>
              <w:bottom w:val="single" w:sz="4" w:space="0" w:color="auto"/>
              <w:right w:val="nil"/>
            </w:tcBorders>
            <w:shd w:val="clear" w:color="auto" w:fill="auto"/>
            <w:noWrap/>
            <w:vAlign w:val="bottom"/>
            <w:hideMark/>
          </w:tcPr>
          <w:p w14:paraId="32F9F876" w14:textId="77777777" w:rsidR="00B82D3B" w:rsidRPr="00B879CD" w:rsidRDefault="00B82D3B" w:rsidP="00B82D3B">
            <w:pPr>
              <w:keepNext/>
              <w:keepLines/>
              <w:jc w:val="right"/>
              <w:rPr>
                <w:color w:val="000000"/>
                <w:sz w:val="20"/>
                <w:szCs w:val="20"/>
              </w:rPr>
            </w:pPr>
            <w:r w:rsidRPr="00B879CD">
              <w:rPr>
                <w:color w:val="000000"/>
                <w:sz w:val="20"/>
                <w:szCs w:val="20"/>
              </w:rPr>
              <w:t xml:space="preserve"> 889 </w:t>
            </w:r>
          </w:p>
        </w:tc>
        <w:tc>
          <w:tcPr>
            <w:tcW w:w="1823" w:type="dxa"/>
            <w:tcBorders>
              <w:top w:val="nil"/>
              <w:left w:val="nil"/>
              <w:bottom w:val="single" w:sz="4" w:space="0" w:color="auto"/>
              <w:right w:val="nil"/>
            </w:tcBorders>
            <w:shd w:val="clear" w:color="auto" w:fill="auto"/>
            <w:noWrap/>
            <w:vAlign w:val="bottom"/>
            <w:hideMark/>
          </w:tcPr>
          <w:p w14:paraId="3ABD9937" w14:textId="77777777" w:rsidR="00B82D3B" w:rsidRPr="00B879CD" w:rsidRDefault="00B82D3B" w:rsidP="00B82D3B">
            <w:pPr>
              <w:keepNext/>
              <w:keepLines/>
              <w:ind w:firstLine="600"/>
              <w:rPr>
                <w:color w:val="000000"/>
                <w:sz w:val="20"/>
                <w:szCs w:val="20"/>
              </w:rPr>
            </w:pPr>
            <w:r w:rsidRPr="00B879CD">
              <w:rPr>
                <w:color w:val="000000"/>
                <w:sz w:val="20"/>
                <w:szCs w:val="20"/>
              </w:rPr>
              <w:t>9%</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16AB9E5C" w14:textId="70BF985B" w:rsidR="00B82D3B" w:rsidRPr="00B879CD" w:rsidRDefault="00B82D3B" w:rsidP="00B82D3B">
            <w:pPr>
              <w:keepNext/>
              <w:keepLines/>
              <w:jc w:val="right"/>
              <w:rPr>
                <w:color w:val="000000"/>
                <w:sz w:val="20"/>
                <w:szCs w:val="20"/>
              </w:rPr>
            </w:pPr>
          </w:p>
        </w:tc>
      </w:tr>
      <w:tr w:rsidR="00B82D3B" w:rsidRPr="00B879CD" w14:paraId="2488CA7A"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48CE72DC" w14:textId="77777777" w:rsidR="00B82D3B" w:rsidRPr="00B879CD" w:rsidRDefault="00B82D3B" w:rsidP="00B82D3B">
            <w:pPr>
              <w:keepNext/>
              <w:keepLines/>
              <w:rPr>
                <w:color w:val="000000"/>
                <w:sz w:val="20"/>
                <w:szCs w:val="20"/>
              </w:rPr>
            </w:pPr>
            <w:r w:rsidRPr="00B879CD">
              <w:rPr>
                <w:color w:val="000000"/>
                <w:sz w:val="20"/>
                <w:szCs w:val="20"/>
              </w:rPr>
              <w:t>Discount Power</w:t>
            </w:r>
          </w:p>
        </w:tc>
        <w:tc>
          <w:tcPr>
            <w:tcW w:w="1340" w:type="dxa"/>
            <w:tcBorders>
              <w:top w:val="nil"/>
              <w:left w:val="nil"/>
              <w:bottom w:val="single" w:sz="4" w:space="0" w:color="auto"/>
              <w:right w:val="nil"/>
            </w:tcBorders>
            <w:shd w:val="clear" w:color="auto" w:fill="auto"/>
            <w:noWrap/>
            <w:vAlign w:val="bottom"/>
            <w:hideMark/>
          </w:tcPr>
          <w:p w14:paraId="33193492" w14:textId="77777777" w:rsidR="00B82D3B" w:rsidRPr="00B879CD" w:rsidRDefault="00B82D3B" w:rsidP="00B82D3B">
            <w:pPr>
              <w:keepNext/>
              <w:keepLines/>
              <w:jc w:val="center"/>
              <w:rPr>
                <w:color w:val="000000"/>
                <w:sz w:val="20"/>
                <w:szCs w:val="20"/>
              </w:rPr>
            </w:pPr>
            <w:r w:rsidRPr="00B879CD">
              <w:rPr>
                <w:color w:val="000000"/>
                <w:sz w:val="20"/>
                <w:szCs w:val="20"/>
              </w:rPr>
              <w:t xml:space="preserve"> 641 </w:t>
            </w:r>
          </w:p>
        </w:tc>
        <w:tc>
          <w:tcPr>
            <w:tcW w:w="1420" w:type="dxa"/>
            <w:tcBorders>
              <w:top w:val="nil"/>
              <w:left w:val="nil"/>
              <w:bottom w:val="single" w:sz="4" w:space="0" w:color="auto"/>
              <w:right w:val="nil"/>
            </w:tcBorders>
            <w:shd w:val="clear" w:color="auto" w:fill="auto"/>
            <w:noWrap/>
            <w:vAlign w:val="bottom"/>
            <w:hideMark/>
          </w:tcPr>
          <w:p w14:paraId="690285ED" w14:textId="77777777" w:rsidR="00B82D3B" w:rsidRPr="00B879CD" w:rsidRDefault="00B82D3B" w:rsidP="00B82D3B">
            <w:pPr>
              <w:keepNext/>
              <w:keepLines/>
              <w:jc w:val="right"/>
              <w:rPr>
                <w:color w:val="000000"/>
                <w:sz w:val="20"/>
                <w:szCs w:val="20"/>
              </w:rPr>
            </w:pPr>
            <w:r w:rsidRPr="00B879CD">
              <w:rPr>
                <w:color w:val="000000"/>
                <w:sz w:val="20"/>
                <w:szCs w:val="20"/>
              </w:rPr>
              <w:t xml:space="preserve"> 7,514 </w:t>
            </w:r>
          </w:p>
        </w:tc>
        <w:tc>
          <w:tcPr>
            <w:tcW w:w="1823" w:type="dxa"/>
            <w:tcBorders>
              <w:top w:val="nil"/>
              <w:left w:val="nil"/>
              <w:bottom w:val="single" w:sz="4" w:space="0" w:color="auto"/>
              <w:right w:val="nil"/>
            </w:tcBorders>
            <w:shd w:val="clear" w:color="auto" w:fill="auto"/>
            <w:noWrap/>
            <w:vAlign w:val="bottom"/>
            <w:hideMark/>
          </w:tcPr>
          <w:p w14:paraId="20D8BA7A" w14:textId="77777777" w:rsidR="00B82D3B" w:rsidRPr="00B879CD" w:rsidRDefault="00B82D3B" w:rsidP="00B82D3B">
            <w:pPr>
              <w:keepNext/>
              <w:keepLines/>
              <w:ind w:firstLine="600"/>
              <w:rPr>
                <w:color w:val="000000"/>
                <w:sz w:val="20"/>
                <w:szCs w:val="20"/>
              </w:rPr>
            </w:pPr>
            <w:r w:rsidRPr="00B879CD">
              <w:rPr>
                <w:color w:val="000000"/>
                <w:sz w:val="20"/>
                <w:szCs w:val="20"/>
              </w:rPr>
              <w:t>9%</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3576AAF2" w14:textId="0144D9FE" w:rsidR="00B82D3B" w:rsidRPr="00B879CD" w:rsidRDefault="00B82D3B" w:rsidP="00B82D3B">
            <w:pPr>
              <w:keepNext/>
              <w:keepLines/>
              <w:jc w:val="right"/>
              <w:rPr>
                <w:color w:val="000000"/>
                <w:sz w:val="20"/>
                <w:szCs w:val="20"/>
              </w:rPr>
            </w:pPr>
          </w:p>
        </w:tc>
      </w:tr>
      <w:tr w:rsidR="00B82D3B" w:rsidRPr="00B879CD" w14:paraId="733D863A"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2ECC6584" w14:textId="77777777" w:rsidR="00B82D3B" w:rsidRPr="00B879CD" w:rsidRDefault="00B82D3B" w:rsidP="00B82D3B">
            <w:pPr>
              <w:keepNext/>
              <w:keepLines/>
              <w:rPr>
                <w:color w:val="000000"/>
                <w:sz w:val="20"/>
                <w:szCs w:val="20"/>
              </w:rPr>
            </w:pPr>
            <w:r w:rsidRPr="00B879CD">
              <w:rPr>
                <w:color w:val="000000"/>
                <w:sz w:val="20"/>
                <w:szCs w:val="20"/>
              </w:rPr>
              <w:t>Energy Plus</w:t>
            </w:r>
          </w:p>
        </w:tc>
        <w:tc>
          <w:tcPr>
            <w:tcW w:w="1340" w:type="dxa"/>
            <w:tcBorders>
              <w:top w:val="nil"/>
              <w:left w:val="nil"/>
              <w:bottom w:val="single" w:sz="4" w:space="0" w:color="auto"/>
              <w:right w:val="nil"/>
            </w:tcBorders>
            <w:shd w:val="clear" w:color="auto" w:fill="auto"/>
            <w:noWrap/>
            <w:vAlign w:val="bottom"/>
            <w:hideMark/>
          </w:tcPr>
          <w:p w14:paraId="725F3F75" w14:textId="77777777" w:rsidR="00B82D3B" w:rsidRPr="00B879CD" w:rsidRDefault="00B82D3B" w:rsidP="00B82D3B">
            <w:pPr>
              <w:keepNext/>
              <w:keepLines/>
              <w:jc w:val="center"/>
              <w:rPr>
                <w:color w:val="000000"/>
                <w:sz w:val="20"/>
                <w:szCs w:val="20"/>
              </w:rPr>
            </w:pPr>
            <w:r w:rsidRPr="00B879CD">
              <w:rPr>
                <w:color w:val="000000"/>
                <w:sz w:val="20"/>
                <w:szCs w:val="20"/>
              </w:rPr>
              <w:t xml:space="preserve"> 282 </w:t>
            </w:r>
          </w:p>
        </w:tc>
        <w:tc>
          <w:tcPr>
            <w:tcW w:w="1420" w:type="dxa"/>
            <w:tcBorders>
              <w:top w:val="nil"/>
              <w:left w:val="nil"/>
              <w:bottom w:val="single" w:sz="4" w:space="0" w:color="auto"/>
              <w:right w:val="nil"/>
            </w:tcBorders>
            <w:shd w:val="clear" w:color="auto" w:fill="auto"/>
            <w:noWrap/>
            <w:vAlign w:val="bottom"/>
            <w:hideMark/>
          </w:tcPr>
          <w:p w14:paraId="4B1268C9" w14:textId="77777777" w:rsidR="00B82D3B" w:rsidRPr="00B879CD" w:rsidRDefault="00B82D3B" w:rsidP="00B82D3B">
            <w:pPr>
              <w:keepNext/>
              <w:keepLines/>
              <w:jc w:val="right"/>
              <w:rPr>
                <w:color w:val="000000"/>
                <w:sz w:val="20"/>
                <w:szCs w:val="20"/>
              </w:rPr>
            </w:pPr>
            <w:r w:rsidRPr="00B879CD">
              <w:rPr>
                <w:color w:val="000000"/>
                <w:sz w:val="20"/>
                <w:szCs w:val="20"/>
              </w:rPr>
              <w:t xml:space="preserve"> 3,379 </w:t>
            </w:r>
          </w:p>
        </w:tc>
        <w:tc>
          <w:tcPr>
            <w:tcW w:w="1823" w:type="dxa"/>
            <w:tcBorders>
              <w:top w:val="nil"/>
              <w:left w:val="nil"/>
              <w:bottom w:val="single" w:sz="4" w:space="0" w:color="auto"/>
              <w:right w:val="nil"/>
            </w:tcBorders>
            <w:shd w:val="clear" w:color="auto" w:fill="auto"/>
            <w:noWrap/>
            <w:vAlign w:val="bottom"/>
            <w:hideMark/>
          </w:tcPr>
          <w:p w14:paraId="1C4AB579" w14:textId="77777777" w:rsidR="00B82D3B" w:rsidRPr="00B879CD" w:rsidRDefault="00B82D3B" w:rsidP="00B82D3B">
            <w:pPr>
              <w:keepNext/>
              <w:keepLines/>
              <w:ind w:firstLine="600"/>
              <w:rPr>
                <w:color w:val="000000"/>
                <w:sz w:val="20"/>
                <w:szCs w:val="20"/>
              </w:rPr>
            </w:pPr>
            <w:r w:rsidRPr="00B879CD">
              <w:rPr>
                <w:color w:val="000000"/>
                <w:sz w:val="20"/>
                <w:szCs w:val="20"/>
              </w:rPr>
              <w:t>8%</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79209D40" w14:textId="496B8D5C" w:rsidR="00B82D3B" w:rsidRPr="00B879CD" w:rsidRDefault="00B82D3B" w:rsidP="00B82D3B">
            <w:pPr>
              <w:keepNext/>
              <w:keepLines/>
              <w:jc w:val="right"/>
              <w:rPr>
                <w:color w:val="000000"/>
                <w:sz w:val="20"/>
                <w:szCs w:val="20"/>
              </w:rPr>
            </w:pPr>
          </w:p>
        </w:tc>
      </w:tr>
      <w:tr w:rsidR="00B82D3B" w:rsidRPr="00B879CD" w14:paraId="542257CA"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1A534127" w14:textId="77777777" w:rsidR="00B82D3B" w:rsidRPr="00B879CD" w:rsidRDefault="00B82D3B" w:rsidP="00B82D3B">
            <w:pPr>
              <w:keepNext/>
              <w:keepLines/>
              <w:rPr>
                <w:color w:val="000000"/>
                <w:sz w:val="20"/>
                <w:szCs w:val="20"/>
              </w:rPr>
            </w:pPr>
            <w:r w:rsidRPr="00B879CD">
              <w:rPr>
                <w:color w:val="000000"/>
                <w:sz w:val="20"/>
                <w:szCs w:val="20"/>
              </w:rPr>
              <w:t>Ambit Energy</w:t>
            </w:r>
          </w:p>
        </w:tc>
        <w:tc>
          <w:tcPr>
            <w:tcW w:w="1340" w:type="dxa"/>
            <w:tcBorders>
              <w:top w:val="nil"/>
              <w:left w:val="nil"/>
              <w:bottom w:val="single" w:sz="4" w:space="0" w:color="auto"/>
              <w:right w:val="nil"/>
            </w:tcBorders>
            <w:shd w:val="clear" w:color="auto" w:fill="auto"/>
            <w:noWrap/>
            <w:vAlign w:val="bottom"/>
            <w:hideMark/>
          </w:tcPr>
          <w:p w14:paraId="06F7462B" w14:textId="77777777" w:rsidR="00B82D3B" w:rsidRPr="00B879CD" w:rsidRDefault="00B82D3B" w:rsidP="00B82D3B">
            <w:pPr>
              <w:keepNext/>
              <w:keepLines/>
              <w:jc w:val="center"/>
              <w:rPr>
                <w:color w:val="000000"/>
                <w:sz w:val="20"/>
                <w:szCs w:val="20"/>
              </w:rPr>
            </w:pPr>
            <w:r w:rsidRPr="00B879CD">
              <w:rPr>
                <w:color w:val="000000"/>
                <w:sz w:val="20"/>
                <w:szCs w:val="20"/>
              </w:rPr>
              <w:t xml:space="preserve"> 373 </w:t>
            </w:r>
          </w:p>
        </w:tc>
        <w:tc>
          <w:tcPr>
            <w:tcW w:w="1420" w:type="dxa"/>
            <w:tcBorders>
              <w:top w:val="nil"/>
              <w:left w:val="nil"/>
              <w:bottom w:val="single" w:sz="4" w:space="0" w:color="auto"/>
              <w:right w:val="nil"/>
            </w:tcBorders>
            <w:shd w:val="clear" w:color="auto" w:fill="auto"/>
            <w:noWrap/>
            <w:vAlign w:val="bottom"/>
            <w:hideMark/>
          </w:tcPr>
          <w:p w14:paraId="574BA0A8" w14:textId="77777777" w:rsidR="00B82D3B" w:rsidRPr="00B879CD" w:rsidRDefault="00B82D3B" w:rsidP="00B82D3B">
            <w:pPr>
              <w:keepNext/>
              <w:keepLines/>
              <w:jc w:val="right"/>
              <w:rPr>
                <w:color w:val="000000"/>
                <w:sz w:val="20"/>
                <w:szCs w:val="20"/>
              </w:rPr>
            </w:pPr>
            <w:r w:rsidRPr="00B879CD">
              <w:rPr>
                <w:color w:val="000000"/>
                <w:sz w:val="20"/>
                <w:szCs w:val="20"/>
              </w:rPr>
              <w:t xml:space="preserve"> 4,720 </w:t>
            </w:r>
          </w:p>
        </w:tc>
        <w:tc>
          <w:tcPr>
            <w:tcW w:w="1823" w:type="dxa"/>
            <w:tcBorders>
              <w:top w:val="nil"/>
              <w:left w:val="nil"/>
              <w:bottom w:val="single" w:sz="4" w:space="0" w:color="auto"/>
              <w:right w:val="nil"/>
            </w:tcBorders>
            <w:shd w:val="clear" w:color="auto" w:fill="auto"/>
            <w:noWrap/>
            <w:vAlign w:val="bottom"/>
            <w:hideMark/>
          </w:tcPr>
          <w:p w14:paraId="0B5F4059" w14:textId="77777777" w:rsidR="00B82D3B" w:rsidRPr="00B879CD" w:rsidRDefault="00B82D3B" w:rsidP="00B82D3B">
            <w:pPr>
              <w:keepNext/>
              <w:keepLines/>
              <w:ind w:firstLine="600"/>
              <w:rPr>
                <w:color w:val="000000"/>
                <w:sz w:val="20"/>
                <w:szCs w:val="20"/>
              </w:rPr>
            </w:pPr>
            <w:r w:rsidRPr="00B879CD">
              <w:rPr>
                <w:color w:val="000000"/>
                <w:sz w:val="20"/>
                <w:szCs w:val="20"/>
              </w:rPr>
              <w:t>8%</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60345EB6" w14:textId="3E1AE315" w:rsidR="00B82D3B" w:rsidRPr="00B879CD" w:rsidRDefault="00B82D3B" w:rsidP="00B82D3B">
            <w:pPr>
              <w:keepNext/>
              <w:keepLines/>
              <w:jc w:val="right"/>
              <w:rPr>
                <w:color w:val="000000"/>
                <w:sz w:val="20"/>
                <w:szCs w:val="20"/>
              </w:rPr>
            </w:pPr>
          </w:p>
        </w:tc>
      </w:tr>
      <w:tr w:rsidR="00B82D3B" w:rsidRPr="00B879CD" w14:paraId="3D9971E1"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448EBAE5" w14:textId="77777777" w:rsidR="00B82D3B" w:rsidRPr="00B879CD" w:rsidRDefault="00B82D3B" w:rsidP="00B82D3B">
            <w:pPr>
              <w:keepNext/>
              <w:keepLines/>
              <w:rPr>
                <w:color w:val="000000"/>
                <w:sz w:val="20"/>
                <w:szCs w:val="20"/>
              </w:rPr>
            </w:pPr>
            <w:r w:rsidRPr="00B879CD">
              <w:rPr>
                <w:color w:val="000000"/>
                <w:sz w:val="20"/>
                <w:szCs w:val="20"/>
              </w:rPr>
              <w:t>Viridian Energy</w:t>
            </w:r>
          </w:p>
        </w:tc>
        <w:tc>
          <w:tcPr>
            <w:tcW w:w="1340" w:type="dxa"/>
            <w:tcBorders>
              <w:top w:val="nil"/>
              <w:left w:val="nil"/>
              <w:bottom w:val="single" w:sz="4" w:space="0" w:color="auto"/>
              <w:right w:val="nil"/>
            </w:tcBorders>
            <w:shd w:val="clear" w:color="auto" w:fill="auto"/>
            <w:noWrap/>
            <w:vAlign w:val="bottom"/>
            <w:hideMark/>
          </w:tcPr>
          <w:p w14:paraId="32A4CD37" w14:textId="77777777" w:rsidR="00B82D3B" w:rsidRPr="00B879CD" w:rsidRDefault="00B82D3B" w:rsidP="00B82D3B">
            <w:pPr>
              <w:keepNext/>
              <w:keepLines/>
              <w:jc w:val="center"/>
              <w:rPr>
                <w:color w:val="000000"/>
                <w:sz w:val="20"/>
                <w:szCs w:val="20"/>
              </w:rPr>
            </w:pPr>
            <w:r w:rsidRPr="00B879CD">
              <w:rPr>
                <w:color w:val="000000"/>
                <w:sz w:val="20"/>
                <w:szCs w:val="20"/>
              </w:rPr>
              <w:t xml:space="preserve"> 198 </w:t>
            </w:r>
          </w:p>
        </w:tc>
        <w:tc>
          <w:tcPr>
            <w:tcW w:w="1420" w:type="dxa"/>
            <w:tcBorders>
              <w:top w:val="nil"/>
              <w:left w:val="nil"/>
              <w:bottom w:val="single" w:sz="4" w:space="0" w:color="auto"/>
              <w:right w:val="nil"/>
            </w:tcBorders>
            <w:shd w:val="clear" w:color="auto" w:fill="auto"/>
            <w:noWrap/>
            <w:vAlign w:val="bottom"/>
            <w:hideMark/>
          </w:tcPr>
          <w:p w14:paraId="776191A4" w14:textId="77777777" w:rsidR="00B82D3B" w:rsidRPr="00B879CD" w:rsidRDefault="00B82D3B" w:rsidP="00B82D3B">
            <w:pPr>
              <w:keepNext/>
              <w:keepLines/>
              <w:jc w:val="right"/>
              <w:rPr>
                <w:color w:val="000000"/>
                <w:sz w:val="20"/>
                <w:szCs w:val="20"/>
              </w:rPr>
            </w:pPr>
            <w:r w:rsidRPr="00B879CD">
              <w:rPr>
                <w:color w:val="000000"/>
                <w:sz w:val="20"/>
                <w:szCs w:val="20"/>
              </w:rPr>
              <w:t xml:space="preserve"> 2,878 </w:t>
            </w:r>
          </w:p>
        </w:tc>
        <w:tc>
          <w:tcPr>
            <w:tcW w:w="1823" w:type="dxa"/>
            <w:tcBorders>
              <w:top w:val="nil"/>
              <w:left w:val="nil"/>
              <w:bottom w:val="single" w:sz="4" w:space="0" w:color="auto"/>
              <w:right w:val="nil"/>
            </w:tcBorders>
            <w:shd w:val="clear" w:color="auto" w:fill="auto"/>
            <w:noWrap/>
            <w:vAlign w:val="bottom"/>
            <w:hideMark/>
          </w:tcPr>
          <w:p w14:paraId="751D3889" w14:textId="77777777" w:rsidR="00B82D3B" w:rsidRPr="00B879CD" w:rsidRDefault="00B82D3B" w:rsidP="00B82D3B">
            <w:pPr>
              <w:keepNext/>
              <w:keepLines/>
              <w:ind w:firstLine="600"/>
              <w:rPr>
                <w:color w:val="000000"/>
                <w:sz w:val="20"/>
                <w:szCs w:val="20"/>
              </w:rPr>
            </w:pPr>
            <w:r w:rsidRPr="00B879CD">
              <w:rPr>
                <w:color w:val="000000"/>
                <w:sz w:val="20"/>
                <w:szCs w:val="20"/>
              </w:rPr>
              <w:t>7%</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7D0ED8A0" w14:textId="288667B5" w:rsidR="00B82D3B" w:rsidRPr="00B879CD" w:rsidRDefault="00B82D3B" w:rsidP="00B82D3B">
            <w:pPr>
              <w:keepNext/>
              <w:keepLines/>
              <w:jc w:val="right"/>
              <w:rPr>
                <w:color w:val="000000"/>
                <w:sz w:val="20"/>
                <w:szCs w:val="20"/>
              </w:rPr>
            </w:pPr>
          </w:p>
        </w:tc>
      </w:tr>
      <w:tr w:rsidR="00B82D3B" w:rsidRPr="00B879CD" w14:paraId="1846F42C"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42B2930A" w14:textId="77777777" w:rsidR="00B82D3B" w:rsidRPr="00B879CD" w:rsidRDefault="00B82D3B" w:rsidP="00B82D3B">
            <w:pPr>
              <w:keepNext/>
              <w:keepLines/>
              <w:rPr>
                <w:color w:val="000000"/>
                <w:sz w:val="20"/>
                <w:szCs w:val="20"/>
              </w:rPr>
            </w:pPr>
            <w:r w:rsidRPr="00B879CD">
              <w:rPr>
                <w:color w:val="000000"/>
                <w:sz w:val="20"/>
                <w:szCs w:val="20"/>
              </w:rPr>
              <w:t>North American Power</w:t>
            </w:r>
          </w:p>
        </w:tc>
        <w:tc>
          <w:tcPr>
            <w:tcW w:w="1340" w:type="dxa"/>
            <w:tcBorders>
              <w:top w:val="nil"/>
              <w:left w:val="nil"/>
              <w:bottom w:val="single" w:sz="4" w:space="0" w:color="auto"/>
              <w:right w:val="nil"/>
            </w:tcBorders>
            <w:shd w:val="clear" w:color="auto" w:fill="auto"/>
            <w:noWrap/>
            <w:vAlign w:val="bottom"/>
            <w:hideMark/>
          </w:tcPr>
          <w:p w14:paraId="57BFB95A" w14:textId="77777777" w:rsidR="00B82D3B" w:rsidRPr="00B879CD" w:rsidRDefault="00B82D3B" w:rsidP="00B82D3B">
            <w:pPr>
              <w:keepNext/>
              <w:keepLines/>
              <w:jc w:val="center"/>
              <w:rPr>
                <w:color w:val="000000"/>
                <w:sz w:val="20"/>
                <w:szCs w:val="20"/>
              </w:rPr>
            </w:pPr>
            <w:r w:rsidRPr="00B879CD">
              <w:rPr>
                <w:color w:val="000000"/>
                <w:sz w:val="20"/>
                <w:szCs w:val="20"/>
              </w:rPr>
              <w:t xml:space="preserve"> 859 </w:t>
            </w:r>
          </w:p>
        </w:tc>
        <w:tc>
          <w:tcPr>
            <w:tcW w:w="1420" w:type="dxa"/>
            <w:tcBorders>
              <w:top w:val="nil"/>
              <w:left w:val="nil"/>
              <w:bottom w:val="single" w:sz="4" w:space="0" w:color="auto"/>
              <w:right w:val="nil"/>
            </w:tcBorders>
            <w:shd w:val="clear" w:color="auto" w:fill="auto"/>
            <w:noWrap/>
            <w:vAlign w:val="bottom"/>
            <w:hideMark/>
          </w:tcPr>
          <w:p w14:paraId="71369FEA" w14:textId="77777777" w:rsidR="00B82D3B" w:rsidRPr="00B879CD" w:rsidRDefault="00B82D3B" w:rsidP="00B82D3B">
            <w:pPr>
              <w:keepNext/>
              <w:keepLines/>
              <w:jc w:val="right"/>
              <w:rPr>
                <w:color w:val="000000"/>
                <w:sz w:val="20"/>
                <w:szCs w:val="20"/>
              </w:rPr>
            </w:pPr>
            <w:r w:rsidRPr="00B879CD">
              <w:rPr>
                <w:color w:val="000000"/>
                <w:sz w:val="20"/>
                <w:szCs w:val="20"/>
              </w:rPr>
              <w:t xml:space="preserve"> 16,430 </w:t>
            </w:r>
          </w:p>
        </w:tc>
        <w:tc>
          <w:tcPr>
            <w:tcW w:w="1823" w:type="dxa"/>
            <w:tcBorders>
              <w:top w:val="nil"/>
              <w:left w:val="nil"/>
              <w:bottom w:val="single" w:sz="4" w:space="0" w:color="auto"/>
              <w:right w:val="nil"/>
            </w:tcBorders>
            <w:shd w:val="clear" w:color="auto" w:fill="auto"/>
            <w:noWrap/>
            <w:vAlign w:val="bottom"/>
            <w:hideMark/>
          </w:tcPr>
          <w:p w14:paraId="57A1B543" w14:textId="77777777" w:rsidR="00B82D3B" w:rsidRPr="00B879CD" w:rsidRDefault="00B82D3B" w:rsidP="00B82D3B">
            <w:pPr>
              <w:keepNext/>
              <w:keepLines/>
              <w:ind w:firstLine="600"/>
              <w:rPr>
                <w:color w:val="000000"/>
                <w:sz w:val="20"/>
                <w:szCs w:val="20"/>
              </w:rPr>
            </w:pPr>
            <w:r w:rsidRPr="00B879CD">
              <w:rPr>
                <w:color w:val="000000"/>
                <w:sz w:val="20"/>
                <w:szCs w:val="20"/>
              </w:rPr>
              <w:t>5%</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71B3C2D9" w14:textId="474564BE" w:rsidR="00B82D3B" w:rsidRPr="00B879CD" w:rsidRDefault="00B82D3B" w:rsidP="00B82D3B">
            <w:pPr>
              <w:keepNext/>
              <w:keepLines/>
              <w:jc w:val="right"/>
              <w:rPr>
                <w:color w:val="000000"/>
                <w:sz w:val="20"/>
                <w:szCs w:val="20"/>
              </w:rPr>
            </w:pPr>
          </w:p>
        </w:tc>
      </w:tr>
      <w:tr w:rsidR="00B82D3B" w:rsidRPr="00B879CD" w14:paraId="464A8FF2"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751200D7" w14:textId="77777777" w:rsidR="00B82D3B" w:rsidRPr="00B879CD" w:rsidRDefault="00B82D3B" w:rsidP="00B82D3B">
            <w:pPr>
              <w:keepNext/>
              <w:keepLines/>
              <w:rPr>
                <w:color w:val="000000"/>
                <w:sz w:val="20"/>
                <w:szCs w:val="20"/>
              </w:rPr>
            </w:pPr>
            <w:r w:rsidRPr="00B879CD">
              <w:rPr>
                <w:color w:val="000000"/>
                <w:sz w:val="20"/>
                <w:szCs w:val="20"/>
              </w:rPr>
              <w:t>Town Square Energy</w:t>
            </w:r>
          </w:p>
        </w:tc>
        <w:tc>
          <w:tcPr>
            <w:tcW w:w="1340" w:type="dxa"/>
            <w:tcBorders>
              <w:top w:val="nil"/>
              <w:left w:val="nil"/>
              <w:bottom w:val="single" w:sz="4" w:space="0" w:color="auto"/>
              <w:right w:val="nil"/>
            </w:tcBorders>
            <w:shd w:val="clear" w:color="auto" w:fill="auto"/>
            <w:noWrap/>
            <w:vAlign w:val="bottom"/>
            <w:hideMark/>
          </w:tcPr>
          <w:p w14:paraId="4EB73589" w14:textId="77777777" w:rsidR="00B82D3B" w:rsidRPr="00B879CD" w:rsidRDefault="00B82D3B" w:rsidP="00B82D3B">
            <w:pPr>
              <w:keepNext/>
              <w:keepLines/>
              <w:jc w:val="center"/>
              <w:rPr>
                <w:color w:val="000000"/>
                <w:sz w:val="20"/>
                <w:szCs w:val="20"/>
              </w:rPr>
            </w:pPr>
            <w:r w:rsidRPr="00B879CD">
              <w:rPr>
                <w:color w:val="000000"/>
                <w:sz w:val="20"/>
                <w:szCs w:val="20"/>
              </w:rPr>
              <w:t xml:space="preserve"> 104 </w:t>
            </w:r>
          </w:p>
        </w:tc>
        <w:tc>
          <w:tcPr>
            <w:tcW w:w="1420" w:type="dxa"/>
            <w:tcBorders>
              <w:top w:val="nil"/>
              <w:left w:val="nil"/>
              <w:bottom w:val="single" w:sz="4" w:space="0" w:color="auto"/>
              <w:right w:val="nil"/>
            </w:tcBorders>
            <w:shd w:val="clear" w:color="auto" w:fill="auto"/>
            <w:noWrap/>
            <w:vAlign w:val="bottom"/>
            <w:hideMark/>
          </w:tcPr>
          <w:p w14:paraId="658DA54E" w14:textId="77777777" w:rsidR="00B82D3B" w:rsidRPr="00B879CD" w:rsidRDefault="00B82D3B" w:rsidP="00B82D3B">
            <w:pPr>
              <w:keepNext/>
              <w:keepLines/>
              <w:jc w:val="right"/>
              <w:rPr>
                <w:color w:val="000000"/>
                <w:sz w:val="20"/>
                <w:szCs w:val="20"/>
              </w:rPr>
            </w:pPr>
            <w:r w:rsidRPr="00B879CD">
              <w:rPr>
                <w:color w:val="000000"/>
                <w:sz w:val="20"/>
                <w:szCs w:val="20"/>
              </w:rPr>
              <w:t xml:space="preserve"> 2,259 </w:t>
            </w:r>
          </w:p>
        </w:tc>
        <w:tc>
          <w:tcPr>
            <w:tcW w:w="1823" w:type="dxa"/>
            <w:tcBorders>
              <w:top w:val="nil"/>
              <w:left w:val="nil"/>
              <w:bottom w:val="single" w:sz="4" w:space="0" w:color="auto"/>
              <w:right w:val="nil"/>
            </w:tcBorders>
            <w:shd w:val="clear" w:color="auto" w:fill="auto"/>
            <w:noWrap/>
            <w:vAlign w:val="bottom"/>
            <w:hideMark/>
          </w:tcPr>
          <w:p w14:paraId="060B87B1" w14:textId="77777777" w:rsidR="00B82D3B" w:rsidRPr="00B879CD" w:rsidRDefault="00B82D3B" w:rsidP="00B82D3B">
            <w:pPr>
              <w:keepNext/>
              <w:keepLines/>
              <w:ind w:firstLine="600"/>
              <w:rPr>
                <w:color w:val="000000"/>
                <w:sz w:val="20"/>
                <w:szCs w:val="20"/>
              </w:rPr>
            </w:pPr>
            <w:r w:rsidRPr="00B879CD">
              <w:rPr>
                <w:color w:val="000000"/>
                <w:sz w:val="20"/>
                <w:szCs w:val="20"/>
              </w:rPr>
              <w:t>5%</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0361496D" w14:textId="4C36ACA2" w:rsidR="00B82D3B" w:rsidRPr="00B879CD" w:rsidRDefault="00B82D3B" w:rsidP="00B82D3B">
            <w:pPr>
              <w:keepNext/>
              <w:keepLines/>
              <w:jc w:val="right"/>
              <w:rPr>
                <w:color w:val="000000"/>
                <w:sz w:val="20"/>
                <w:szCs w:val="20"/>
              </w:rPr>
            </w:pPr>
          </w:p>
        </w:tc>
      </w:tr>
      <w:tr w:rsidR="00B82D3B" w:rsidRPr="00B879CD" w14:paraId="15701BF7"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35811D58" w14:textId="77777777" w:rsidR="00B82D3B" w:rsidRPr="00B879CD" w:rsidRDefault="00B82D3B" w:rsidP="00B82D3B">
            <w:pPr>
              <w:keepNext/>
              <w:keepLines/>
              <w:rPr>
                <w:color w:val="000000"/>
                <w:sz w:val="20"/>
                <w:szCs w:val="20"/>
              </w:rPr>
            </w:pPr>
            <w:r w:rsidRPr="00B879CD">
              <w:rPr>
                <w:color w:val="000000"/>
                <w:sz w:val="20"/>
                <w:szCs w:val="20"/>
              </w:rPr>
              <w:t>Gulf Oil</w:t>
            </w:r>
          </w:p>
        </w:tc>
        <w:tc>
          <w:tcPr>
            <w:tcW w:w="1340" w:type="dxa"/>
            <w:tcBorders>
              <w:top w:val="nil"/>
              <w:left w:val="nil"/>
              <w:bottom w:val="single" w:sz="4" w:space="0" w:color="auto"/>
              <w:right w:val="nil"/>
            </w:tcBorders>
            <w:shd w:val="clear" w:color="auto" w:fill="auto"/>
            <w:noWrap/>
            <w:vAlign w:val="bottom"/>
            <w:hideMark/>
          </w:tcPr>
          <w:p w14:paraId="354F780F" w14:textId="77777777" w:rsidR="00B82D3B" w:rsidRPr="00B879CD" w:rsidRDefault="00B82D3B" w:rsidP="00B82D3B">
            <w:pPr>
              <w:keepNext/>
              <w:keepLines/>
              <w:jc w:val="center"/>
              <w:rPr>
                <w:color w:val="000000"/>
                <w:sz w:val="20"/>
                <w:szCs w:val="20"/>
              </w:rPr>
            </w:pPr>
            <w:r w:rsidRPr="00B879CD">
              <w:rPr>
                <w:color w:val="000000"/>
                <w:sz w:val="20"/>
                <w:szCs w:val="20"/>
              </w:rPr>
              <w:t xml:space="preserve"> 39 </w:t>
            </w:r>
          </w:p>
        </w:tc>
        <w:tc>
          <w:tcPr>
            <w:tcW w:w="1420" w:type="dxa"/>
            <w:tcBorders>
              <w:top w:val="nil"/>
              <w:left w:val="nil"/>
              <w:bottom w:val="single" w:sz="4" w:space="0" w:color="auto"/>
              <w:right w:val="nil"/>
            </w:tcBorders>
            <w:shd w:val="clear" w:color="auto" w:fill="auto"/>
            <w:noWrap/>
            <w:vAlign w:val="bottom"/>
            <w:hideMark/>
          </w:tcPr>
          <w:p w14:paraId="44BDAF0A" w14:textId="77777777" w:rsidR="00B82D3B" w:rsidRPr="00B879CD" w:rsidRDefault="00B82D3B" w:rsidP="00B82D3B">
            <w:pPr>
              <w:keepNext/>
              <w:keepLines/>
              <w:jc w:val="right"/>
              <w:rPr>
                <w:color w:val="000000"/>
                <w:sz w:val="20"/>
                <w:szCs w:val="20"/>
              </w:rPr>
            </w:pPr>
            <w:r w:rsidRPr="00B879CD">
              <w:rPr>
                <w:color w:val="000000"/>
                <w:sz w:val="20"/>
                <w:szCs w:val="20"/>
              </w:rPr>
              <w:t xml:space="preserve"> 961 </w:t>
            </w:r>
          </w:p>
        </w:tc>
        <w:tc>
          <w:tcPr>
            <w:tcW w:w="1823" w:type="dxa"/>
            <w:tcBorders>
              <w:top w:val="nil"/>
              <w:left w:val="nil"/>
              <w:bottom w:val="single" w:sz="4" w:space="0" w:color="auto"/>
              <w:right w:val="nil"/>
            </w:tcBorders>
            <w:shd w:val="clear" w:color="auto" w:fill="auto"/>
            <w:noWrap/>
            <w:vAlign w:val="bottom"/>
            <w:hideMark/>
          </w:tcPr>
          <w:p w14:paraId="3BF0F96F" w14:textId="77777777" w:rsidR="00B82D3B" w:rsidRPr="00B879CD" w:rsidRDefault="00B82D3B" w:rsidP="00B82D3B">
            <w:pPr>
              <w:keepNext/>
              <w:keepLines/>
              <w:ind w:firstLine="600"/>
              <w:rPr>
                <w:color w:val="000000"/>
                <w:sz w:val="20"/>
                <w:szCs w:val="20"/>
              </w:rPr>
            </w:pPr>
            <w:r w:rsidRPr="00B879CD">
              <w:rPr>
                <w:color w:val="000000"/>
                <w:sz w:val="20"/>
                <w:szCs w:val="20"/>
              </w:rPr>
              <w:t>4%</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269DF942" w14:textId="688993FF" w:rsidR="00B82D3B" w:rsidRPr="00B879CD" w:rsidRDefault="00B82D3B" w:rsidP="00B82D3B">
            <w:pPr>
              <w:keepNext/>
              <w:keepLines/>
              <w:jc w:val="right"/>
              <w:rPr>
                <w:color w:val="000000"/>
                <w:sz w:val="20"/>
                <w:szCs w:val="20"/>
              </w:rPr>
            </w:pPr>
          </w:p>
        </w:tc>
      </w:tr>
      <w:tr w:rsidR="00B82D3B" w:rsidRPr="00B879CD" w14:paraId="3BEDDF8C"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08ED950C" w14:textId="77777777" w:rsidR="00B82D3B" w:rsidRPr="00B879CD" w:rsidRDefault="00B82D3B" w:rsidP="00B82D3B">
            <w:pPr>
              <w:keepNext/>
              <w:keepLines/>
              <w:rPr>
                <w:color w:val="000000"/>
                <w:sz w:val="20"/>
                <w:szCs w:val="20"/>
              </w:rPr>
            </w:pPr>
            <w:r w:rsidRPr="00B879CD">
              <w:rPr>
                <w:color w:val="000000"/>
                <w:sz w:val="20"/>
                <w:szCs w:val="20"/>
              </w:rPr>
              <w:t>Aequitas Energy</w:t>
            </w:r>
          </w:p>
        </w:tc>
        <w:tc>
          <w:tcPr>
            <w:tcW w:w="1340" w:type="dxa"/>
            <w:tcBorders>
              <w:top w:val="nil"/>
              <w:left w:val="nil"/>
              <w:bottom w:val="single" w:sz="4" w:space="0" w:color="auto"/>
              <w:right w:val="nil"/>
            </w:tcBorders>
            <w:shd w:val="clear" w:color="auto" w:fill="auto"/>
            <w:noWrap/>
            <w:vAlign w:val="bottom"/>
            <w:hideMark/>
          </w:tcPr>
          <w:p w14:paraId="1D7B9752" w14:textId="77777777" w:rsidR="00B82D3B" w:rsidRPr="00B879CD" w:rsidRDefault="00B82D3B" w:rsidP="00B82D3B">
            <w:pPr>
              <w:keepNext/>
              <w:keepLines/>
              <w:jc w:val="center"/>
              <w:rPr>
                <w:color w:val="000000"/>
                <w:sz w:val="20"/>
                <w:szCs w:val="20"/>
              </w:rPr>
            </w:pPr>
            <w:r w:rsidRPr="00B879CD">
              <w:rPr>
                <w:color w:val="000000"/>
                <w:sz w:val="20"/>
                <w:szCs w:val="20"/>
              </w:rPr>
              <w:t xml:space="preserve"> 35 </w:t>
            </w:r>
          </w:p>
        </w:tc>
        <w:tc>
          <w:tcPr>
            <w:tcW w:w="1420" w:type="dxa"/>
            <w:tcBorders>
              <w:top w:val="nil"/>
              <w:left w:val="nil"/>
              <w:bottom w:val="single" w:sz="4" w:space="0" w:color="auto"/>
              <w:right w:val="nil"/>
            </w:tcBorders>
            <w:shd w:val="clear" w:color="auto" w:fill="auto"/>
            <w:noWrap/>
            <w:vAlign w:val="bottom"/>
            <w:hideMark/>
          </w:tcPr>
          <w:p w14:paraId="2968F3D7" w14:textId="77777777" w:rsidR="00B82D3B" w:rsidRPr="00B879CD" w:rsidRDefault="00B82D3B" w:rsidP="00B82D3B">
            <w:pPr>
              <w:keepNext/>
              <w:keepLines/>
              <w:jc w:val="right"/>
              <w:rPr>
                <w:color w:val="000000"/>
                <w:sz w:val="20"/>
                <w:szCs w:val="20"/>
              </w:rPr>
            </w:pPr>
            <w:r w:rsidRPr="00B879CD">
              <w:rPr>
                <w:color w:val="000000"/>
                <w:sz w:val="20"/>
                <w:szCs w:val="20"/>
              </w:rPr>
              <w:t xml:space="preserve"> 869 </w:t>
            </w:r>
          </w:p>
        </w:tc>
        <w:tc>
          <w:tcPr>
            <w:tcW w:w="1823" w:type="dxa"/>
            <w:tcBorders>
              <w:top w:val="nil"/>
              <w:left w:val="nil"/>
              <w:bottom w:val="single" w:sz="4" w:space="0" w:color="auto"/>
              <w:right w:val="nil"/>
            </w:tcBorders>
            <w:shd w:val="clear" w:color="auto" w:fill="auto"/>
            <w:noWrap/>
            <w:vAlign w:val="bottom"/>
            <w:hideMark/>
          </w:tcPr>
          <w:p w14:paraId="3A5F4AC9" w14:textId="77777777" w:rsidR="00B82D3B" w:rsidRPr="00B879CD" w:rsidRDefault="00B82D3B" w:rsidP="00B82D3B">
            <w:pPr>
              <w:keepNext/>
              <w:keepLines/>
              <w:ind w:firstLine="600"/>
              <w:rPr>
                <w:color w:val="000000"/>
                <w:sz w:val="20"/>
                <w:szCs w:val="20"/>
              </w:rPr>
            </w:pPr>
            <w:r w:rsidRPr="00B879CD">
              <w:rPr>
                <w:color w:val="000000"/>
                <w:sz w:val="20"/>
                <w:szCs w:val="20"/>
              </w:rPr>
              <w:t>4%</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74C4C607" w14:textId="00FF92FB" w:rsidR="00B82D3B" w:rsidRPr="00B879CD" w:rsidRDefault="00B82D3B" w:rsidP="00B82D3B">
            <w:pPr>
              <w:keepNext/>
              <w:keepLines/>
              <w:jc w:val="right"/>
              <w:rPr>
                <w:color w:val="000000"/>
                <w:sz w:val="20"/>
                <w:szCs w:val="20"/>
              </w:rPr>
            </w:pPr>
          </w:p>
        </w:tc>
      </w:tr>
      <w:tr w:rsidR="00B82D3B" w:rsidRPr="00B879CD" w14:paraId="549A3CD4"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2FA5D201" w14:textId="77777777" w:rsidR="00B82D3B" w:rsidRPr="00B879CD" w:rsidRDefault="00B82D3B" w:rsidP="00B82D3B">
            <w:pPr>
              <w:keepNext/>
              <w:keepLines/>
              <w:rPr>
                <w:color w:val="000000"/>
                <w:sz w:val="20"/>
                <w:szCs w:val="20"/>
              </w:rPr>
            </w:pPr>
            <w:r w:rsidRPr="00B879CD">
              <w:rPr>
                <w:color w:val="000000"/>
                <w:sz w:val="20"/>
                <w:szCs w:val="20"/>
              </w:rPr>
              <w:t>Consolidated Energy Solutions</w:t>
            </w:r>
          </w:p>
        </w:tc>
        <w:tc>
          <w:tcPr>
            <w:tcW w:w="1340" w:type="dxa"/>
            <w:tcBorders>
              <w:top w:val="nil"/>
              <w:left w:val="nil"/>
              <w:bottom w:val="single" w:sz="4" w:space="0" w:color="auto"/>
              <w:right w:val="nil"/>
            </w:tcBorders>
            <w:shd w:val="clear" w:color="auto" w:fill="auto"/>
            <w:noWrap/>
            <w:vAlign w:val="bottom"/>
            <w:hideMark/>
          </w:tcPr>
          <w:p w14:paraId="07764988" w14:textId="77777777" w:rsidR="00B82D3B" w:rsidRPr="00B879CD" w:rsidRDefault="00B82D3B" w:rsidP="00B82D3B">
            <w:pPr>
              <w:keepNext/>
              <w:keepLines/>
              <w:jc w:val="center"/>
              <w:rPr>
                <w:color w:val="000000"/>
                <w:sz w:val="20"/>
                <w:szCs w:val="20"/>
              </w:rPr>
            </w:pPr>
            <w:r w:rsidRPr="00B879CD">
              <w:rPr>
                <w:color w:val="000000"/>
                <w:sz w:val="20"/>
                <w:szCs w:val="20"/>
              </w:rPr>
              <w:t xml:space="preserve"> 285 </w:t>
            </w:r>
          </w:p>
        </w:tc>
        <w:tc>
          <w:tcPr>
            <w:tcW w:w="1420" w:type="dxa"/>
            <w:tcBorders>
              <w:top w:val="nil"/>
              <w:left w:val="nil"/>
              <w:bottom w:val="single" w:sz="4" w:space="0" w:color="auto"/>
              <w:right w:val="nil"/>
            </w:tcBorders>
            <w:shd w:val="clear" w:color="auto" w:fill="auto"/>
            <w:noWrap/>
            <w:vAlign w:val="bottom"/>
            <w:hideMark/>
          </w:tcPr>
          <w:p w14:paraId="5FEF9FBA" w14:textId="77777777" w:rsidR="00B82D3B" w:rsidRPr="00B879CD" w:rsidRDefault="00B82D3B" w:rsidP="00B82D3B">
            <w:pPr>
              <w:keepNext/>
              <w:keepLines/>
              <w:jc w:val="right"/>
              <w:rPr>
                <w:color w:val="000000"/>
                <w:sz w:val="20"/>
                <w:szCs w:val="20"/>
              </w:rPr>
            </w:pPr>
            <w:r w:rsidRPr="00B879CD">
              <w:rPr>
                <w:color w:val="000000"/>
                <w:sz w:val="20"/>
                <w:szCs w:val="20"/>
              </w:rPr>
              <w:t xml:space="preserve"> 7,506 </w:t>
            </w:r>
          </w:p>
        </w:tc>
        <w:tc>
          <w:tcPr>
            <w:tcW w:w="1823" w:type="dxa"/>
            <w:tcBorders>
              <w:top w:val="nil"/>
              <w:left w:val="nil"/>
              <w:bottom w:val="single" w:sz="4" w:space="0" w:color="auto"/>
              <w:right w:val="nil"/>
            </w:tcBorders>
            <w:shd w:val="clear" w:color="auto" w:fill="auto"/>
            <w:noWrap/>
            <w:vAlign w:val="bottom"/>
            <w:hideMark/>
          </w:tcPr>
          <w:p w14:paraId="06CF7AB1" w14:textId="77777777" w:rsidR="00B82D3B" w:rsidRPr="00B879CD" w:rsidRDefault="00B82D3B" w:rsidP="00B82D3B">
            <w:pPr>
              <w:keepNext/>
              <w:keepLines/>
              <w:ind w:firstLine="600"/>
              <w:rPr>
                <w:color w:val="000000"/>
                <w:sz w:val="20"/>
                <w:szCs w:val="20"/>
              </w:rPr>
            </w:pPr>
            <w:r w:rsidRPr="00B879CD">
              <w:rPr>
                <w:color w:val="000000"/>
                <w:sz w:val="20"/>
                <w:szCs w:val="20"/>
              </w:rPr>
              <w:t>4%</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60A27CCA" w14:textId="67B64587" w:rsidR="00B82D3B" w:rsidRPr="00B879CD" w:rsidRDefault="00B82D3B" w:rsidP="00B82D3B">
            <w:pPr>
              <w:keepNext/>
              <w:keepLines/>
              <w:jc w:val="right"/>
              <w:rPr>
                <w:color w:val="000000"/>
                <w:sz w:val="20"/>
                <w:szCs w:val="20"/>
              </w:rPr>
            </w:pPr>
          </w:p>
        </w:tc>
      </w:tr>
      <w:tr w:rsidR="00B82D3B" w:rsidRPr="00B879CD" w14:paraId="0EA8F51D" w14:textId="77777777" w:rsidTr="00D72A78">
        <w:trPr>
          <w:trHeight w:val="280"/>
          <w:jc w:val="center"/>
        </w:trPr>
        <w:tc>
          <w:tcPr>
            <w:tcW w:w="3255" w:type="dxa"/>
            <w:tcBorders>
              <w:top w:val="nil"/>
              <w:left w:val="single" w:sz="8" w:space="0" w:color="auto"/>
              <w:bottom w:val="single" w:sz="4" w:space="0" w:color="auto"/>
              <w:right w:val="nil"/>
            </w:tcBorders>
            <w:shd w:val="clear" w:color="auto" w:fill="auto"/>
            <w:noWrap/>
            <w:vAlign w:val="bottom"/>
            <w:hideMark/>
          </w:tcPr>
          <w:p w14:paraId="3C1C7CFD" w14:textId="77777777" w:rsidR="00B82D3B" w:rsidRPr="00B879CD" w:rsidRDefault="00B82D3B" w:rsidP="00B82D3B">
            <w:pPr>
              <w:keepNext/>
              <w:keepLines/>
              <w:rPr>
                <w:color w:val="000000"/>
                <w:sz w:val="20"/>
                <w:szCs w:val="20"/>
              </w:rPr>
            </w:pPr>
            <w:r w:rsidRPr="00B879CD">
              <w:rPr>
                <w:color w:val="000000"/>
                <w:sz w:val="20"/>
                <w:szCs w:val="20"/>
              </w:rPr>
              <w:t>Dominion Energy Solutions</w:t>
            </w:r>
          </w:p>
        </w:tc>
        <w:tc>
          <w:tcPr>
            <w:tcW w:w="1340" w:type="dxa"/>
            <w:tcBorders>
              <w:top w:val="nil"/>
              <w:left w:val="nil"/>
              <w:bottom w:val="single" w:sz="4" w:space="0" w:color="auto"/>
              <w:right w:val="nil"/>
            </w:tcBorders>
            <w:shd w:val="clear" w:color="auto" w:fill="auto"/>
            <w:noWrap/>
            <w:vAlign w:val="bottom"/>
            <w:hideMark/>
          </w:tcPr>
          <w:p w14:paraId="2BF3C5EF" w14:textId="77777777" w:rsidR="00B82D3B" w:rsidRPr="00B879CD" w:rsidRDefault="00B82D3B" w:rsidP="00B82D3B">
            <w:pPr>
              <w:keepNext/>
              <w:keepLines/>
              <w:jc w:val="center"/>
              <w:rPr>
                <w:color w:val="000000"/>
                <w:sz w:val="20"/>
                <w:szCs w:val="20"/>
              </w:rPr>
            </w:pPr>
            <w:r w:rsidRPr="00B879CD">
              <w:rPr>
                <w:color w:val="000000"/>
                <w:sz w:val="20"/>
                <w:szCs w:val="20"/>
              </w:rPr>
              <w:t xml:space="preserve"> 329 </w:t>
            </w:r>
          </w:p>
        </w:tc>
        <w:tc>
          <w:tcPr>
            <w:tcW w:w="1420" w:type="dxa"/>
            <w:tcBorders>
              <w:top w:val="nil"/>
              <w:left w:val="nil"/>
              <w:bottom w:val="single" w:sz="4" w:space="0" w:color="auto"/>
              <w:right w:val="nil"/>
            </w:tcBorders>
            <w:shd w:val="clear" w:color="auto" w:fill="auto"/>
            <w:noWrap/>
            <w:vAlign w:val="bottom"/>
            <w:hideMark/>
          </w:tcPr>
          <w:p w14:paraId="41FD3B5D" w14:textId="77777777" w:rsidR="00B82D3B" w:rsidRPr="00B879CD" w:rsidRDefault="00B82D3B" w:rsidP="00B82D3B">
            <w:pPr>
              <w:keepNext/>
              <w:keepLines/>
              <w:jc w:val="right"/>
              <w:rPr>
                <w:color w:val="000000"/>
                <w:sz w:val="20"/>
                <w:szCs w:val="20"/>
              </w:rPr>
            </w:pPr>
            <w:r w:rsidRPr="00B879CD">
              <w:rPr>
                <w:color w:val="000000"/>
                <w:sz w:val="20"/>
                <w:szCs w:val="20"/>
              </w:rPr>
              <w:t xml:space="preserve"> 11,185 </w:t>
            </w:r>
          </w:p>
        </w:tc>
        <w:tc>
          <w:tcPr>
            <w:tcW w:w="1823" w:type="dxa"/>
            <w:tcBorders>
              <w:top w:val="nil"/>
              <w:left w:val="nil"/>
              <w:bottom w:val="single" w:sz="4" w:space="0" w:color="auto"/>
              <w:right w:val="nil"/>
            </w:tcBorders>
            <w:shd w:val="clear" w:color="auto" w:fill="auto"/>
            <w:noWrap/>
            <w:vAlign w:val="bottom"/>
            <w:hideMark/>
          </w:tcPr>
          <w:p w14:paraId="2ADB3AF3" w14:textId="77777777" w:rsidR="00B82D3B" w:rsidRPr="00B879CD" w:rsidRDefault="00B82D3B" w:rsidP="00B82D3B">
            <w:pPr>
              <w:keepNext/>
              <w:keepLines/>
              <w:ind w:firstLine="600"/>
              <w:rPr>
                <w:color w:val="000000"/>
                <w:sz w:val="20"/>
                <w:szCs w:val="20"/>
              </w:rPr>
            </w:pPr>
            <w:r w:rsidRPr="00B879CD">
              <w:rPr>
                <w:color w:val="000000"/>
                <w:sz w:val="20"/>
                <w:szCs w:val="20"/>
              </w:rPr>
              <w:t>3%</w:t>
            </w:r>
          </w:p>
        </w:tc>
        <w:tc>
          <w:tcPr>
            <w:tcW w:w="1203" w:type="dxa"/>
            <w:tcBorders>
              <w:top w:val="nil"/>
              <w:left w:val="nil"/>
              <w:bottom w:val="single" w:sz="4" w:space="0" w:color="auto"/>
              <w:right w:val="single" w:sz="8" w:space="0" w:color="auto"/>
            </w:tcBorders>
            <w:shd w:val="clear" w:color="auto" w:fill="404040" w:themeFill="text1" w:themeFillTint="BF"/>
            <w:noWrap/>
            <w:tcMar>
              <w:left w:w="115" w:type="dxa"/>
              <w:right w:w="144" w:type="dxa"/>
            </w:tcMar>
            <w:vAlign w:val="bottom"/>
          </w:tcPr>
          <w:p w14:paraId="37713FCA" w14:textId="56963B89" w:rsidR="00B82D3B" w:rsidRPr="00B879CD" w:rsidRDefault="00B82D3B" w:rsidP="00B82D3B">
            <w:pPr>
              <w:keepNext/>
              <w:keepLines/>
              <w:jc w:val="right"/>
              <w:rPr>
                <w:color w:val="000000"/>
                <w:sz w:val="20"/>
                <w:szCs w:val="20"/>
              </w:rPr>
            </w:pPr>
          </w:p>
        </w:tc>
      </w:tr>
      <w:tr w:rsidR="00B82D3B" w:rsidRPr="00B879CD" w14:paraId="141C40A0" w14:textId="77777777" w:rsidTr="00A10500">
        <w:trPr>
          <w:trHeight w:val="377"/>
          <w:jc w:val="center"/>
        </w:trPr>
        <w:tc>
          <w:tcPr>
            <w:tcW w:w="3255" w:type="dxa"/>
            <w:tcBorders>
              <w:top w:val="single" w:sz="4" w:space="0" w:color="auto"/>
              <w:left w:val="single" w:sz="8" w:space="0" w:color="auto"/>
              <w:bottom w:val="single" w:sz="4" w:space="0" w:color="auto"/>
              <w:right w:val="nil"/>
            </w:tcBorders>
            <w:shd w:val="clear" w:color="auto" w:fill="auto"/>
            <w:noWrap/>
            <w:vAlign w:val="bottom"/>
            <w:hideMark/>
          </w:tcPr>
          <w:p w14:paraId="02D00D04" w14:textId="77777777" w:rsidR="00B82D3B" w:rsidRPr="00B879CD" w:rsidRDefault="00B82D3B" w:rsidP="00B82D3B">
            <w:pPr>
              <w:keepNext/>
              <w:keepLines/>
              <w:rPr>
                <w:b/>
                <w:bCs/>
                <w:color w:val="000000"/>
                <w:sz w:val="20"/>
                <w:szCs w:val="20"/>
              </w:rPr>
            </w:pPr>
            <w:r w:rsidRPr="00B879CD">
              <w:rPr>
                <w:b/>
                <w:bCs/>
                <w:color w:val="000000"/>
                <w:sz w:val="20"/>
                <w:szCs w:val="20"/>
              </w:rPr>
              <w:t>Total All Suppliers in UI Territory</w:t>
            </w:r>
          </w:p>
        </w:tc>
        <w:tc>
          <w:tcPr>
            <w:tcW w:w="1340" w:type="dxa"/>
            <w:tcBorders>
              <w:top w:val="single" w:sz="4" w:space="0" w:color="auto"/>
              <w:left w:val="nil"/>
              <w:bottom w:val="single" w:sz="4" w:space="0" w:color="auto"/>
              <w:right w:val="nil"/>
            </w:tcBorders>
            <w:shd w:val="clear" w:color="auto" w:fill="auto"/>
            <w:noWrap/>
            <w:vAlign w:val="bottom"/>
            <w:hideMark/>
          </w:tcPr>
          <w:p w14:paraId="028FFDC4" w14:textId="77777777" w:rsidR="00B82D3B" w:rsidRPr="00B879CD" w:rsidRDefault="00B82D3B" w:rsidP="00B82D3B">
            <w:pPr>
              <w:keepNext/>
              <w:keepLines/>
              <w:jc w:val="center"/>
              <w:rPr>
                <w:b/>
                <w:bCs/>
                <w:color w:val="000000"/>
                <w:sz w:val="20"/>
                <w:szCs w:val="20"/>
              </w:rPr>
            </w:pPr>
            <w:r w:rsidRPr="00B879CD">
              <w:rPr>
                <w:b/>
                <w:bCs/>
                <w:color w:val="000000"/>
                <w:sz w:val="20"/>
                <w:szCs w:val="20"/>
              </w:rPr>
              <w:t xml:space="preserve"> 15,265 </w:t>
            </w:r>
          </w:p>
        </w:tc>
        <w:tc>
          <w:tcPr>
            <w:tcW w:w="1420" w:type="dxa"/>
            <w:tcBorders>
              <w:top w:val="single" w:sz="4" w:space="0" w:color="auto"/>
              <w:left w:val="nil"/>
              <w:bottom w:val="single" w:sz="4" w:space="0" w:color="auto"/>
              <w:right w:val="nil"/>
            </w:tcBorders>
            <w:shd w:val="clear" w:color="auto" w:fill="auto"/>
            <w:noWrap/>
            <w:vAlign w:val="bottom"/>
            <w:hideMark/>
          </w:tcPr>
          <w:p w14:paraId="6906FB3B" w14:textId="77777777" w:rsidR="00B82D3B" w:rsidRPr="00B879CD" w:rsidRDefault="00B82D3B" w:rsidP="00B82D3B">
            <w:pPr>
              <w:keepNext/>
              <w:keepLines/>
              <w:jc w:val="center"/>
              <w:rPr>
                <w:b/>
                <w:bCs/>
                <w:color w:val="000000"/>
                <w:sz w:val="20"/>
                <w:szCs w:val="20"/>
              </w:rPr>
            </w:pPr>
            <w:r w:rsidRPr="00B879CD">
              <w:rPr>
                <w:b/>
                <w:bCs/>
                <w:color w:val="000000"/>
                <w:sz w:val="20"/>
                <w:szCs w:val="20"/>
              </w:rPr>
              <w:t xml:space="preserve"> 137,021 </w:t>
            </w:r>
          </w:p>
        </w:tc>
        <w:tc>
          <w:tcPr>
            <w:tcW w:w="1823" w:type="dxa"/>
            <w:tcBorders>
              <w:top w:val="single" w:sz="4" w:space="0" w:color="auto"/>
              <w:left w:val="nil"/>
              <w:bottom w:val="single" w:sz="4" w:space="0" w:color="auto"/>
              <w:right w:val="nil"/>
            </w:tcBorders>
            <w:shd w:val="clear" w:color="auto" w:fill="auto"/>
            <w:noWrap/>
            <w:vAlign w:val="bottom"/>
            <w:hideMark/>
          </w:tcPr>
          <w:p w14:paraId="4BE0EBA8" w14:textId="77777777" w:rsidR="00B82D3B" w:rsidRPr="00B879CD" w:rsidRDefault="00B82D3B" w:rsidP="00B82D3B">
            <w:pPr>
              <w:keepNext/>
              <w:keepLines/>
              <w:ind w:firstLine="650"/>
              <w:rPr>
                <w:b/>
                <w:bCs/>
                <w:color w:val="000000"/>
                <w:sz w:val="20"/>
                <w:szCs w:val="20"/>
              </w:rPr>
            </w:pPr>
            <w:r w:rsidRPr="00B879CD">
              <w:rPr>
                <w:b/>
                <w:bCs/>
                <w:color w:val="000000"/>
                <w:sz w:val="20"/>
                <w:szCs w:val="20"/>
              </w:rPr>
              <w:t>11%</w:t>
            </w:r>
          </w:p>
        </w:tc>
        <w:tc>
          <w:tcPr>
            <w:tcW w:w="1203" w:type="dxa"/>
            <w:tcBorders>
              <w:top w:val="single" w:sz="4" w:space="0" w:color="auto"/>
              <w:left w:val="nil"/>
              <w:bottom w:val="single" w:sz="4" w:space="0" w:color="auto"/>
              <w:right w:val="single" w:sz="8" w:space="0" w:color="auto"/>
            </w:tcBorders>
            <w:shd w:val="clear" w:color="auto" w:fill="auto"/>
            <w:noWrap/>
            <w:vAlign w:val="bottom"/>
            <w:hideMark/>
          </w:tcPr>
          <w:p w14:paraId="0EBD6D71" w14:textId="77777777" w:rsidR="00B82D3B" w:rsidRPr="00B879CD" w:rsidRDefault="00B82D3B" w:rsidP="00B82D3B">
            <w:pPr>
              <w:keepNext/>
              <w:keepLines/>
              <w:ind w:firstLine="1083"/>
              <w:rPr>
                <w:b/>
                <w:bCs/>
                <w:color w:val="000000"/>
                <w:sz w:val="20"/>
                <w:szCs w:val="20"/>
              </w:rPr>
            </w:pPr>
            <w:r w:rsidRPr="00B879CD">
              <w:rPr>
                <w:b/>
                <w:bCs/>
                <w:color w:val="000000"/>
                <w:sz w:val="20"/>
                <w:szCs w:val="20"/>
              </w:rPr>
              <w:t> </w:t>
            </w:r>
          </w:p>
        </w:tc>
      </w:tr>
    </w:tbl>
    <w:p w14:paraId="1AE7F2EC" w14:textId="77777777" w:rsidR="00A90794" w:rsidRDefault="00A90794" w:rsidP="00B82D3B">
      <w:pPr>
        <w:keepNext/>
        <w:keepLines/>
        <w:spacing w:line="480" w:lineRule="auto"/>
        <w:ind w:left="720" w:hanging="720"/>
        <w:rPr>
          <w:b/>
        </w:rPr>
      </w:pPr>
      <w:r>
        <w:rPr>
          <w:b/>
        </w:rPr>
        <w:t xml:space="preserve">END </w:t>
      </w:r>
      <w:r w:rsidR="00BA5CDC">
        <w:rPr>
          <w:b/>
        </w:rPr>
        <w:t>CONFIDENTIAL</w:t>
      </w:r>
      <w:r>
        <w:rPr>
          <w:b/>
        </w:rPr>
        <w:t>&gt;&gt;</w:t>
      </w:r>
    </w:p>
    <w:p w14:paraId="4F5F156F" w14:textId="77777777" w:rsidR="00A005B7" w:rsidRDefault="00A005B7" w:rsidP="00A005B7">
      <w:pPr>
        <w:spacing w:line="480" w:lineRule="auto"/>
        <w:ind w:left="720" w:hanging="720"/>
        <w:rPr>
          <w:b/>
        </w:rPr>
      </w:pPr>
      <w:r>
        <w:rPr>
          <w:b/>
        </w:rPr>
        <w:t>Q:</w:t>
      </w:r>
      <w:r>
        <w:rPr>
          <w:b/>
        </w:rPr>
        <w:tab/>
        <w:t>Have you calculated a weighted average price for each individual</w:t>
      </w:r>
      <w:r w:rsidR="00A93FF2">
        <w:rPr>
          <w:b/>
        </w:rPr>
        <w:t xml:space="preserve"> Supplier</w:t>
      </w:r>
      <w:r>
        <w:rPr>
          <w:b/>
        </w:rPr>
        <w:t xml:space="preserve"> in UI’s operating territory?</w:t>
      </w:r>
    </w:p>
    <w:p w14:paraId="0DC62B07" w14:textId="77777777" w:rsidR="00A005B7" w:rsidRDefault="00A005B7" w:rsidP="00A005B7">
      <w:pPr>
        <w:spacing w:line="480" w:lineRule="auto"/>
        <w:ind w:left="720" w:hanging="720"/>
      </w:pPr>
      <w:r>
        <w:t>A:</w:t>
      </w:r>
      <w:r>
        <w:tab/>
        <w:t xml:space="preserve">Yes.  </w:t>
      </w:r>
      <w:r w:rsidR="00E133A6">
        <w:t xml:space="preserve">Confidential </w:t>
      </w:r>
      <w:r>
        <w:t xml:space="preserve">Table </w:t>
      </w:r>
      <w:r w:rsidR="00E133A6">
        <w:t>C-</w:t>
      </w:r>
      <w:r w:rsidR="0055710F">
        <w:t>17</w:t>
      </w:r>
      <w:r>
        <w:t xml:space="preserve"> provides those results and ranks them from highest to lowest weighted average price.  The table also provides a count of customers for each</w:t>
      </w:r>
      <w:r w:rsidR="00A93FF2">
        <w:t xml:space="preserve"> Supplier</w:t>
      </w:r>
      <w:r w:rsidR="003869FC">
        <w:t>.</w:t>
      </w:r>
    </w:p>
    <w:p w14:paraId="066D6E02" w14:textId="77777777" w:rsidR="00A005B7" w:rsidRDefault="00E133A6" w:rsidP="00CC6305">
      <w:pPr>
        <w:keepNext/>
        <w:keepLines/>
        <w:ind w:left="720" w:hanging="720"/>
        <w:jc w:val="center"/>
        <w:rPr>
          <w:b/>
        </w:rPr>
      </w:pPr>
      <w:r>
        <w:rPr>
          <w:b/>
        </w:rPr>
        <w:t xml:space="preserve">Confidential </w:t>
      </w:r>
      <w:r w:rsidR="00A005B7">
        <w:rPr>
          <w:b/>
        </w:rPr>
        <w:t xml:space="preserve">Table </w:t>
      </w:r>
      <w:r w:rsidR="0055710F">
        <w:rPr>
          <w:b/>
        </w:rPr>
        <w:t>17</w:t>
      </w:r>
      <w:r w:rsidR="00A005B7">
        <w:rPr>
          <w:rStyle w:val="FootnoteReference"/>
          <w:b/>
        </w:rPr>
        <w:footnoteReference w:id="61"/>
      </w:r>
    </w:p>
    <w:p w14:paraId="2F21FAA0" w14:textId="77777777" w:rsidR="00A005B7" w:rsidRDefault="00A005B7" w:rsidP="00CC6305">
      <w:pPr>
        <w:keepNext/>
        <w:keepLines/>
        <w:ind w:left="720" w:hanging="720"/>
        <w:jc w:val="center"/>
        <w:rPr>
          <w:b/>
        </w:rPr>
      </w:pPr>
      <w:r>
        <w:rPr>
          <w:b/>
        </w:rPr>
        <w:t>Weighted Average Residential Rates of Suppliers</w:t>
      </w:r>
      <w:r w:rsidR="00CC6305">
        <w:rPr>
          <w:b/>
        </w:rPr>
        <w:t xml:space="preserve"> in UI Footprint</w:t>
      </w:r>
    </w:p>
    <w:p w14:paraId="459892EF" w14:textId="77777777" w:rsidR="00A005B7" w:rsidRPr="00CE7151" w:rsidRDefault="00A005B7" w:rsidP="00A005B7">
      <w:pPr>
        <w:keepNext/>
        <w:keepLines/>
        <w:spacing w:line="480" w:lineRule="auto"/>
        <w:ind w:left="720" w:hanging="720"/>
        <w:rPr>
          <w:b/>
        </w:rPr>
      </w:pPr>
      <w:r w:rsidRPr="00CE7151">
        <w:rPr>
          <w:b/>
        </w:rPr>
        <w:t>&lt;&lt;&lt;BEGIN CONFIDENTIAL</w:t>
      </w:r>
    </w:p>
    <w:tbl>
      <w:tblPr>
        <w:tblW w:w="10020" w:type="dxa"/>
        <w:tblInd w:w="93" w:type="dxa"/>
        <w:tblLook w:val="04A0" w:firstRow="1" w:lastRow="0" w:firstColumn="1" w:lastColumn="0" w:noHBand="0" w:noVBand="1"/>
      </w:tblPr>
      <w:tblGrid>
        <w:gridCol w:w="2594"/>
        <w:gridCol w:w="1078"/>
        <w:gridCol w:w="1056"/>
        <w:gridCol w:w="266"/>
        <w:gridCol w:w="3118"/>
        <w:gridCol w:w="1038"/>
        <w:gridCol w:w="1056"/>
      </w:tblGrid>
      <w:tr w:rsidR="00A005B7" w:rsidRPr="001F33C0" w14:paraId="6EC68C43" w14:textId="77777777" w:rsidTr="00355526">
        <w:trPr>
          <w:trHeight w:val="960"/>
        </w:trPr>
        <w:tc>
          <w:tcPr>
            <w:tcW w:w="2594" w:type="dxa"/>
            <w:tcBorders>
              <w:top w:val="single" w:sz="8" w:space="0" w:color="auto"/>
              <w:left w:val="single" w:sz="8" w:space="0" w:color="auto"/>
              <w:bottom w:val="nil"/>
              <w:right w:val="nil"/>
            </w:tcBorders>
            <w:shd w:val="clear" w:color="auto" w:fill="404040" w:themeFill="text1" w:themeFillTint="BF"/>
            <w:vAlign w:val="center"/>
          </w:tcPr>
          <w:p w14:paraId="0949A741" w14:textId="5B63A08D" w:rsidR="00A005B7" w:rsidRPr="001F33C0" w:rsidRDefault="00A005B7" w:rsidP="000B616F">
            <w:pPr>
              <w:keepNext/>
              <w:keepLines/>
              <w:widowControl/>
              <w:autoSpaceDE/>
              <w:autoSpaceDN/>
              <w:adjustRightInd/>
              <w:jc w:val="center"/>
              <w:rPr>
                <w:b/>
                <w:bCs/>
                <w:color w:val="000000"/>
                <w:sz w:val="20"/>
                <w:szCs w:val="20"/>
              </w:rPr>
            </w:pPr>
          </w:p>
        </w:tc>
        <w:tc>
          <w:tcPr>
            <w:tcW w:w="1078" w:type="dxa"/>
            <w:tcBorders>
              <w:top w:val="single" w:sz="8" w:space="0" w:color="auto"/>
              <w:left w:val="nil"/>
              <w:bottom w:val="nil"/>
              <w:right w:val="nil"/>
            </w:tcBorders>
            <w:shd w:val="clear" w:color="auto" w:fill="404040" w:themeFill="text1" w:themeFillTint="BF"/>
            <w:vAlign w:val="center"/>
          </w:tcPr>
          <w:p w14:paraId="69A22694" w14:textId="3C6A76FD" w:rsidR="00A005B7" w:rsidRPr="001F33C0" w:rsidRDefault="00A005B7" w:rsidP="000B616F">
            <w:pPr>
              <w:keepNext/>
              <w:keepLines/>
              <w:widowControl/>
              <w:autoSpaceDE/>
              <w:autoSpaceDN/>
              <w:adjustRightInd/>
              <w:jc w:val="center"/>
              <w:rPr>
                <w:b/>
                <w:bCs/>
                <w:color w:val="000000"/>
                <w:sz w:val="20"/>
                <w:szCs w:val="20"/>
              </w:rPr>
            </w:pPr>
          </w:p>
        </w:tc>
        <w:tc>
          <w:tcPr>
            <w:tcW w:w="1056" w:type="dxa"/>
            <w:tcBorders>
              <w:top w:val="single" w:sz="8" w:space="0" w:color="auto"/>
              <w:left w:val="nil"/>
              <w:bottom w:val="nil"/>
              <w:right w:val="nil"/>
            </w:tcBorders>
            <w:shd w:val="clear" w:color="auto" w:fill="404040" w:themeFill="text1" w:themeFillTint="BF"/>
            <w:vAlign w:val="center"/>
          </w:tcPr>
          <w:p w14:paraId="0CAEDDED" w14:textId="75E3BA2E" w:rsidR="00A005B7" w:rsidRPr="001F33C0" w:rsidRDefault="00A005B7" w:rsidP="000B616F">
            <w:pPr>
              <w:keepNext/>
              <w:keepLines/>
              <w:widowControl/>
              <w:autoSpaceDE/>
              <w:autoSpaceDN/>
              <w:adjustRightInd/>
              <w:jc w:val="center"/>
              <w:rPr>
                <w:b/>
                <w:bCs/>
                <w:color w:val="000000"/>
                <w:sz w:val="20"/>
                <w:szCs w:val="20"/>
              </w:rPr>
            </w:pPr>
          </w:p>
        </w:tc>
        <w:tc>
          <w:tcPr>
            <w:tcW w:w="80" w:type="dxa"/>
            <w:tcBorders>
              <w:top w:val="single" w:sz="8" w:space="0" w:color="auto"/>
              <w:left w:val="nil"/>
              <w:bottom w:val="nil"/>
              <w:right w:val="nil"/>
            </w:tcBorders>
            <w:shd w:val="clear" w:color="auto" w:fill="404040" w:themeFill="text1" w:themeFillTint="BF"/>
            <w:vAlign w:val="bottom"/>
          </w:tcPr>
          <w:p w14:paraId="2B847EA0" w14:textId="40AE32E8" w:rsidR="00A005B7" w:rsidRPr="001F33C0" w:rsidRDefault="00A005B7" w:rsidP="000B616F">
            <w:pPr>
              <w:keepNext/>
              <w:keepLines/>
              <w:widowControl/>
              <w:autoSpaceDE/>
              <w:autoSpaceDN/>
              <w:adjustRightInd/>
              <w:jc w:val="center"/>
              <w:rPr>
                <w:b/>
                <w:bCs/>
                <w:color w:val="000000"/>
                <w:sz w:val="20"/>
                <w:szCs w:val="20"/>
              </w:rPr>
            </w:pPr>
          </w:p>
        </w:tc>
        <w:tc>
          <w:tcPr>
            <w:tcW w:w="3118" w:type="dxa"/>
            <w:tcBorders>
              <w:top w:val="single" w:sz="8" w:space="0" w:color="auto"/>
              <w:left w:val="nil"/>
              <w:bottom w:val="nil"/>
              <w:right w:val="nil"/>
            </w:tcBorders>
            <w:shd w:val="clear" w:color="auto" w:fill="404040" w:themeFill="text1" w:themeFillTint="BF"/>
            <w:vAlign w:val="center"/>
          </w:tcPr>
          <w:p w14:paraId="14FA9C71" w14:textId="04A17265" w:rsidR="00A005B7" w:rsidRPr="001F33C0" w:rsidRDefault="00A005B7" w:rsidP="000B616F">
            <w:pPr>
              <w:keepNext/>
              <w:keepLines/>
              <w:widowControl/>
              <w:autoSpaceDE/>
              <w:autoSpaceDN/>
              <w:adjustRightInd/>
              <w:jc w:val="center"/>
              <w:rPr>
                <w:b/>
                <w:bCs/>
                <w:color w:val="000000"/>
                <w:sz w:val="20"/>
                <w:szCs w:val="20"/>
              </w:rPr>
            </w:pPr>
          </w:p>
        </w:tc>
        <w:tc>
          <w:tcPr>
            <w:tcW w:w="1038" w:type="dxa"/>
            <w:tcBorders>
              <w:top w:val="single" w:sz="8" w:space="0" w:color="auto"/>
              <w:left w:val="nil"/>
              <w:bottom w:val="nil"/>
              <w:right w:val="nil"/>
            </w:tcBorders>
            <w:shd w:val="clear" w:color="auto" w:fill="404040" w:themeFill="text1" w:themeFillTint="BF"/>
            <w:vAlign w:val="center"/>
          </w:tcPr>
          <w:p w14:paraId="6D504622" w14:textId="46B0B876" w:rsidR="00A005B7" w:rsidRPr="001F33C0" w:rsidRDefault="00A005B7" w:rsidP="000B616F">
            <w:pPr>
              <w:keepNext/>
              <w:keepLines/>
              <w:widowControl/>
              <w:autoSpaceDE/>
              <w:autoSpaceDN/>
              <w:adjustRightInd/>
              <w:jc w:val="center"/>
              <w:rPr>
                <w:b/>
                <w:bCs/>
                <w:color w:val="000000"/>
                <w:sz w:val="20"/>
                <w:szCs w:val="20"/>
              </w:rPr>
            </w:pPr>
          </w:p>
        </w:tc>
        <w:tc>
          <w:tcPr>
            <w:tcW w:w="1056" w:type="dxa"/>
            <w:tcBorders>
              <w:top w:val="single" w:sz="8" w:space="0" w:color="auto"/>
              <w:left w:val="nil"/>
              <w:bottom w:val="nil"/>
              <w:right w:val="single" w:sz="8" w:space="0" w:color="auto"/>
            </w:tcBorders>
            <w:shd w:val="clear" w:color="auto" w:fill="404040" w:themeFill="text1" w:themeFillTint="BF"/>
            <w:vAlign w:val="center"/>
          </w:tcPr>
          <w:p w14:paraId="3B9F7133" w14:textId="5548033A" w:rsidR="00A005B7" w:rsidRPr="001F33C0" w:rsidRDefault="00A005B7" w:rsidP="000B616F">
            <w:pPr>
              <w:keepNext/>
              <w:keepLines/>
              <w:widowControl/>
              <w:autoSpaceDE/>
              <w:autoSpaceDN/>
              <w:adjustRightInd/>
              <w:jc w:val="center"/>
              <w:rPr>
                <w:b/>
                <w:bCs/>
                <w:color w:val="000000"/>
                <w:sz w:val="20"/>
                <w:szCs w:val="20"/>
              </w:rPr>
            </w:pPr>
          </w:p>
        </w:tc>
      </w:tr>
      <w:tr w:rsidR="00A005B7" w:rsidRPr="001F33C0" w14:paraId="0EB20094"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51FFE545" w14:textId="636DD186"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610B5684" w14:textId="4D7D8540"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0B02E69D" w14:textId="00B2268C"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0955D4A7"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3CCBC650" w14:textId="11F8611C"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7083B504" w14:textId="2F52AE60"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07C43F03" w14:textId="1813167E" w:rsidR="00A005B7" w:rsidRPr="001F33C0" w:rsidRDefault="00A005B7" w:rsidP="000B616F">
            <w:pPr>
              <w:keepNext/>
              <w:keepLines/>
              <w:widowControl/>
              <w:autoSpaceDE/>
              <w:autoSpaceDN/>
              <w:adjustRightInd/>
              <w:jc w:val="right"/>
              <w:rPr>
                <w:color w:val="000000"/>
                <w:sz w:val="20"/>
                <w:szCs w:val="20"/>
              </w:rPr>
            </w:pPr>
          </w:p>
        </w:tc>
      </w:tr>
      <w:tr w:rsidR="00A005B7" w:rsidRPr="001F33C0" w14:paraId="5AF268E0"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5DCCE0DD" w14:textId="7747B2E2"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17DB79D8" w14:textId="7F90F659"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59DE1B19" w14:textId="3A704196"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38C280CC"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18D3EF79" w14:textId="2366D118"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1596B4E0" w14:textId="6FD6ED9F"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51A5A687" w14:textId="070BEEDB" w:rsidR="00A005B7" w:rsidRPr="001F33C0" w:rsidRDefault="00A005B7" w:rsidP="000B616F">
            <w:pPr>
              <w:keepNext/>
              <w:keepLines/>
              <w:widowControl/>
              <w:autoSpaceDE/>
              <w:autoSpaceDN/>
              <w:adjustRightInd/>
              <w:jc w:val="right"/>
              <w:rPr>
                <w:color w:val="000000"/>
                <w:sz w:val="20"/>
                <w:szCs w:val="20"/>
              </w:rPr>
            </w:pPr>
          </w:p>
        </w:tc>
      </w:tr>
      <w:tr w:rsidR="00A005B7" w:rsidRPr="001F33C0" w14:paraId="5C104850"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20AE3F6E" w14:textId="46EE9080"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57C42192" w14:textId="42941B78"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1A48CA3D" w14:textId="68E20985"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758344B9"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47F060BF" w14:textId="0E442F94"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6BBC5CD2" w14:textId="529737CA"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3441D189" w14:textId="14A6805D" w:rsidR="00A005B7" w:rsidRPr="001F33C0" w:rsidRDefault="00A005B7" w:rsidP="000B616F">
            <w:pPr>
              <w:keepNext/>
              <w:keepLines/>
              <w:widowControl/>
              <w:autoSpaceDE/>
              <w:autoSpaceDN/>
              <w:adjustRightInd/>
              <w:jc w:val="right"/>
              <w:rPr>
                <w:color w:val="000000"/>
                <w:sz w:val="20"/>
                <w:szCs w:val="20"/>
              </w:rPr>
            </w:pPr>
          </w:p>
        </w:tc>
      </w:tr>
      <w:tr w:rsidR="00A005B7" w:rsidRPr="001F33C0" w14:paraId="070D1A51"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77B31334" w14:textId="596651A7"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2BF4B28B" w14:textId="0141EE79"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657253B0" w14:textId="57916E51"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6E0174EE"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48EFC12D" w14:textId="777ED3D4"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30D2B8C9" w14:textId="7B40941B"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1F07BDE7" w14:textId="492A6A66" w:rsidR="00A005B7" w:rsidRPr="001F33C0" w:rsidRDefault="00A005B7" w:rsidP="000B616F">
            <w:pPr>
              <w:keepNext/>
              <w:keepLines/>
              <w:widowControl/>
              <w:autoSpaceDE/>
              <w:autoSpaceDN/>
              <w:adjustRightInd/>
              <w:jc w:val="right"/>
              <w:rPr>
                <w:color w:val="000000"/>
                <w:sz w:val="20"/>
                <w:szCs w:val="20"/>
              </w:rPr>
            </w:pPr>
          </w:p>
        </w:tc>
      </w:tr>
      <w:tr w:rsidR="00A005B7" w:rsidRPr="001F33C0" w14:paraId="232CDBD2"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1CB74F46" w14:textId="06A37A3C"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3F68EC99" w14:textId="26AAEF1A"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37497DF4" w14:textId="60CCAA37"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1971C15A"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3C1346A7" w14:textId="740E39CF"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4A8A4DE8" w14:textId="407C1A6A"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36DBA3EF" w14:textId="45574843" w:rsidR="00A005B7" w:rsidRPr="001F33C0" w:rsidRDefault="00A005B7" w:rsidP="000B616F">
            <w:pPr>
              <w:keepNext/>
              <w:keepLines/>
              <w:widowControl/>
              <w:autoSpaceDE/>
              <w:autoSpaceDN/>
              <w:adjustRightInd/>
              <w:jc w:val="right"/>
              <w:rPr>
                <w:color w:val="000000"/>
                <w:sz w:val="20"/>
                <w:szCs w:val="20"/>
              </w:rPr>
            </w:pPr>
          </w:p>
        </w:tc>
      </w:tr>
      <w:tr w:rsidR="00A005B7" w:rsidRPr="001F33C0" w14:paraId="09781C1D"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0AF9D285" w14:textId="0F8FAFCC"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2D0DF9E1" w14:textId="509C199E"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0C38041C" w14:textId="51AC0DD9"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5C0251B4"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600554AF" w14:textId="1D228DF1"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478EA5CD" w14:textId="1A6E864A"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467B7659" w14:textId="489515B4" w:rsidR="00A005B7" w:rsidRPr="001F33C0" w:rsidRDefault="00A005B7" w:rsidP="000B616F">
            <w:pPr>
              <w:keepNext/>
              <w:keepLines/>
              <w:widowControl/>
              <w:autoSpaceDE/>
              <w:autoSpaceDN/>
              <w:adjustRightInd/>
              <w:jc w:val="right"/>
              <w:rPr>
                <w:color w:val="000000"/>
                <w:sz w:val="20"/>
                <w:szCs w:val="20"/>
              </w:rPr>
            </w:pPr>
          </w:p>
        </w:tc>
      </w:tr>
      <w:tr w:rsidR="00A005B7" w:rsidRPr="001F33C0" w14:paraId="22202D53"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5FDB279A" w14:textId="23A3C285"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758B1915" w14:textId="3AC49C0F"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744E282C" w14:textId="3C8AFACF"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75680F66"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3423C028" w14:textId="551FB5B6"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5A8F7AFF" w14:textId="443C373B"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4D6E78E1" w14:textId="1657E015" w:rsidR="00A005B7" w:rsidRPr="001F33C0" w:rsidRDefault="00A005B7" w:rsidP="000B616F">
            <w:pPr>
              <w:keepNext/>
              <w:keepLines/>
              <w:widowControl/>
              <w:autoSpaceDE/>
              <w:autoSpaceDN/>
              <w:adjustRightInd/>
              <w:jc w:val="right"/>
              <w:rPr>
                <w:color w:val="000000"/>
                <w:sz w:val="20"/>
                <w:szCs w:val="20"/>
              </w:rPr>
            </w:pPr>
          </w:p>
        </w:tc>
      </w:tr>
      <w:tr w:rsidR="00A005B7" w:rsidRPr="001F33C0" w14:paraId="2D3EFC99"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47779DF9" w14:textId="52D610A6"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52F4249C" w14:textId="0C6326D9"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7B2D55A0" w14:textId="666A0588"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153ADCFB"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0E3C346C" w14:textId="14784E8C"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36B3BF4B" w14:textId="6E1AC805"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28BE7298" w14:textId="5C6A1E57" w:rsidR="00A005B7" w:rsidRPr="001F33C0" w:rsidRDefault="00A005B7" w:rsidP="000B616F">
            <w:pPr>
              <w:keepNext/>
              <w:keepLines/>
              <w:widowControl/>
              <w:autoSpaceDE/>
              <w:autoSpaceDN/>
              <w:adjustRightInd/>
              <w:jc w:val="right"/>
              <w:rPr>
                <w:color w:val="000000"/>
                <w:sz w:val="20"/>
                <w:szCs w:val="20"/>
              </w:rPr>
            </w:pPr>
          </w:p>
        </w:tc>
      </w:tr>
      <w:tr w:rsidR="00A005B7" w:rsidRPr="001F33C0" w14:paraId="5F3321E0"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646D4914" w14:textId="3F60BB7B"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4F9979C1" w14:textId="083A4B20"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4DE0B3C2" w14:textId="49B036FC"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405D00BA"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4AF1C4F3" w14:textId="57894F33"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381D6EE7" w14:textId="146DE8D1"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5C34587A" w14:textId="79498485" w:rsidR="00A005B7" w:rsidRPr="001F33C0" w:rsidRDefault="00A005B7" w:rsidP="000B616F">
            <w:pPr>
              <w:keepNext/>
              <w:keepLines/>
              <w:widowControl/>
              <w:autoSpaceDE/>
              <w:autoSpaceDN/>
              <w:adjustRightInd/>
              <w:jc w:val="right"/>
              <w:rPr>
                <w:color w:val="000000"/>
                <w:sz w:val="20"/>
                <w:szCs w:val="20"/>
              </w:rPr>
            </w:pPr>
          </w:p>
        </w:tc>
      </w:tr>
      <w:tr w:rsidR="00A005B7" w:rsidRPr="001F33C0" w14:paraId="51CF6CF5"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47A77B3F" w14:textId="24FF13C9"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7F2FF6CD" w14:textId="5BC4B921"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6E1C0B49" w14:textId="231445C1"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44E9D041"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58E71445" w14:textId="1B944B2A"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34017FEC" w14:textId="48E8871D"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389546F1" w14:textId="7D0521A4" w:rsidR="00A005B7" w:rsidRPr="001F33C0" w:rsidRDefault="00A005B7" w:rsidP="000B616F">
            <w:pPr>
              <w:keepNext/>
              <w:keepLines/>
              <w:widowControl/>
              <w:autoSpaceDE/>
              <w:autoSpaceDN/>
              <w:adjustRightInd/>
              <w:jc w:val="right"/>
              <w:rPr>
                <w:color w:val="000000"/>
                <w:sz w:val="20"/>
                <w:szCs w:val="20"/>
              </w:rPr>
            </w:pPr>
          </w:p>
        </w:tc>
      </w:tr>
      <w:tr w:rsidR="00A005B7" w:rsidRPr="001F33C0" w14:paraId="577091E5"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1D93D1F1" w14:textId="7B0C4406"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4AE9C359" w14:textId="53338899"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04F7FB09" w14:textId="5F4E2021"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3866499C"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4722A822" w14:textId="28F5230B"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1798FE9D" w14:textId="636B5DAA"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636C93D7" w14:textId="68A6D5F7" w:rsidR="00A005B7" w:rsidRPr="001F33C0" w:rsidRDefault="00A005B7" w:rsidP="000B616F">
            <w:pPr>
              <w:keepNext/>
              <w:keepLines/>
              <w:widowControl/>
              <w:autoSpaceDE/>
              <w:autoSpaceDN/>
              <w:adjustRightInd/>
              <w:jc w:val="right"/>
              <w:rPr>
                <w:color w:val="000000"/>
                <w:sz w:val="20"/>
                <w:szCs w:val="20"/>
              </w:rPr>
            </w:pPr>
          </w:p>
        </w:tc>
      </w:tr>
      <w:tr w:rsidR="00A005B7" w:rsidRPr="001F33C0" w14:paraId="636CC6AA"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1499E286" w14:textId="07958B83"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6E93EA78" w14:textId="2B055B8A"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3B96FBD9" w14:textId="4CE93E3C"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2A489038"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3CD18CC2" w14:textId="73779057"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4E11D534" w14:textId="64A044AD"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1D2D06DB" w14:textId="209A9058" w:rsidR="00A005B7" w:rsidRPr="001F33C0" w:rsidRDefault="00A005B7" w:rsidP="000B616F">
            <w:pPr>
              <w:keepNext/>
              <w:keepLines/>
              <w:widowControl/>
              <w:autoSpaceDE/>
              <w:autoSpaceDN/>
              <w:adjustRightInd/>
              <w:jc w:val="right"/>
              <w:rPr>
                <w:color w:val="000000"/>
                <w:sz w:val="20"/>
                <w:szCs w:val="20"/>
              </w:rPr>
            </w:pPr>
          </w:p>
        </w:tc>
      </w:tr>
      <w:tr w:rsidR="00A005B7" w:rsidRPr="001F33C0" w14:paraId="70AB241D"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5F0E500E" w14:textId="4014FEAC"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4322234B" w14:textId="4ED798FD"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0FB0D7E7" w14:textId="3EB20787"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0E5782BA"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4E3EC9D3" w14:textId="7CAAC770"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59D17C97" w14:textId="536FA21B"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54A59DFF" w14:textId="0F15D3EB" w:rsidR="00A005B7" w:rsidRPr="001F33C0" w:rsidRDefault="00A005B7" w:rsidP="000B616F">
            <w:pPr>
              <w:keepNext/>
              <w:keepLines/>
              <w:widowControl/>
              <w:autoSpaceDE/>
              <w:autoSpaceDN/>
              <w:adjustRightInd/>
              <w:jc w:val="right"/>
              <w:rPr>
                <w:color w:val="000000"/>
                <w:sz w:val="20"/>
                <w:szCs w:val="20"/>
              </w:rPr>
            </w:pPr>
          </w:p>
        </w:tc>
      </w:tr>
      <w:tr w:rsidR="00A005B7" w:rsidRPr="001F33C0" w14:paraId="02C2DE3E"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70955CA0" w14:textId="1DA9E194"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2D0F5C23" w14:textId="7F774548"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414E87DA" w14:textId="3D40F156"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7CBE8790"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3463A98E" w14:textId="7B245E42"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6E6C8B5E" w14:textId="0525185D"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552B8CBC" w14:textId="007AE162" w:rsidR="00A005B7" w:rsidRPr="001F33C0" w:rsidRDefault="00A005B7" w:rsidP="000B616F">
            <w:pPr>
              <w:keepNext/>
              <w:keepLines/>
              <w:widowControl/>
              <w:autoSpaceDE/>
              <w:autoSpaceDN/>
              <w:adjustRightInd/>
              <w:jc w:val="right"/>
              <w:rPr>
                <w:color w:val="000000"/>
                <w:sz w:val="20"/>
                <w:szCs w:val="20"/>
              </w:rPr>
            </w:pPr>
          </w:p>
        </w:tc>
      </w:tr>
      <w:tr w:rsidR="00A005B7" w:rsidRPr="001F33C0" w14:paraId="0F669A82"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08D4B11E" w14:textId="52F706DD"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629B6F0A" w14:textId="0BA4F927"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7FFFCABB" w14:textId="1580DCD8"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13115F5F"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1C8487AC" w14:textId="28FD3902"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235581E4" w14:textId="3DA2C8C6"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2264C858" w14:textId="193FBF83" w:rsidR="00A005B7" w:rsidRPr="001F33C0" w:rsidRDefault="00A005B7" w:rsidP="000B616F">
            <w:pPr>
              <w:keepNext/>
              <w:keepLines/>
              <w:widowControl/>
              <w:autoSpaceDE/>
              <w:autoSpaceDN/>
              <w:adjustRightInd/>
              <w:jc w:val="center"/>
              <w:rPr>
                <w:color w:val="000000"/>
                <w:sz w:val="20"/>
                <w:szCs w:val="20"/>
              </w:rPr>
            </w:pPr>
          </w:p>
        </w:tc>
      </w:tr>
      <w:tr w:rsidR="00A005B7" w:rsidRPr="001F33C0" w14:paraId="25E83DE1"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6E422C17" w14:textId="2FEB752E"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7BA25767" w14:textId="5ECE6AFE"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1DFFFDBC" w14:textId="42840C08"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00B5DDC2"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5C090164" w14:textId="433E27A7"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60872FB8" w14:textId="4A2D3459"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center"/>
          </w:tcPr>
          <w:p w14:paraId="3D3E9BB5" w14:textId="69CF20E1" w:rsidR="00A005B7" w:rsidRPr="001F33C0" w:rsidRDefault="00A005B7" w:rsidP="000B616F">
            <w:pPr>
              <w:keepNext/>
              <w:keepLines/>
              <w:widowControl/>
              <w:autoSpaceDE/>
              <w:autoSpaceDN/>
              <w:adjustRightInd/>
              <w:jc w:val="center"/>
              <w:rPr>
                <w:color w:val="000000"/>
                <w:sz w:val="20"/>
                <w:szCs w:val="20"/>
              </w:rPr>
            </w:pPr>
          </w:p>
        </w:tc>
      </w:tr>
      <w:tr w:rsidR="00A005B7" w:rsidRPr="001F33C0" w14:paraId="399AB8D2"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599AB362" w14:textId="1C209A2D"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1EE09DDB" w14:textId="0B4CCB51"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2A149993" w14:textId="6432C8C3"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73546D06"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08E76A1B" w14:textId="3935E8DA"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30DE4914" w14:textId="1E68E56A"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5AA651BD" w14:textId="76FB368E" w:rsidR="00A005B7" w:rsidRPr="001F33C0" w:rsidRDefault="00A005B7" w:rsidP="000B616F">
            <w:pPr>
              <w:keepNext/>
              <w:keepLines/>
              <w:widowControl/>
              <w:autoSpaceDE/>
              <w:autoSpaceDN/>
              <w:adjustRightInd/>
              <w:jc w:val="center"/>
              <w:rPr>
                <w:color w:val="000000"/>
                <w:sz w:val="20"/>
                <w:szCs w:val="20"/>
              </w:rPr>
            </w:pPr>
          </w:p>
        </w:tc>
      </w:tr>
      <w:tr w:rsidR="00A005B7" w:rsidRPr="001F33C0" w14:paraId="075EC854"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7FB11F1C" w14:textId="416F249C"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490378AC" w14:textId="7E634586"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25392FEF" w14:textId="056E9553"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1DF0A850"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3475B94A" w14:textId="754F7CAB"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23521683" w14:textId="621C5E03"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center"/>
          </w:tcPr>
          <w:p w14:paraId="1F367622" w14:textId="29C76938" w:rsidR="00A005B7" w:rsidRPr="001F33C0" w:rsidRDefault="00A005B7" w:rsidP="000B616F">
            <w:pPr>
              <w:keepNext/>
              <w:keepLines/>
              <w:widowControl/>
              <w:autoSpaceDE/>
              <w:autoSpaceDN/>
              <w:adjustRightInd/>
              <w:jc w:val="center"/>
              <w:rPr>
                <w:color w:val="000000"/>
                <w:sz w:val="20"/>
                <w:szCs w:val="20"/>
              </w:rPr>
            </w:pPr>
          </w:p>
        </w:tc>
      </w:tr>
      <w:tr w:rsidR="00A005B7" w:rsidRPr="001F33C0" w14:paraId="6243CA78"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5A37E70D" w14:textId="094B1E82"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2DA7C1D4" w14:textId="71273C8F"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17C3AF45" w14:textId="377A7D57" w:rsidR="00A005B7" w:rsidRPr="001F33C0" w:rsidRDefault="00A005B7" w:rsidP="000B616F">
            <w:pPr>
              <w:keepNext/>
              <w:keepLines/>
              <w:widowControl/>
              <w:autoSpaceDE/>
              <w:autoSpaceDN/>
              <w:adjustRightInd/>
              <w:jc w:val="right"/>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4927A7F5"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11633D32" w14:textId="68B30959"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272F5CD1" w14:textId="2007DCEC" w:rsidR="00A005B7" w:rsidRPr="001F33C0" w:rsidRDefault="00A005B7" w:rsidP="000B616F">
            <w:pPr>
              <w:keepNext/>
              <w:keepLines/>
              <w:widowControl/>
              <w:autoSpaceDE/>
              <w:autoSpaceDN/>
              <w:adjustRightInd/>
              <w:jc w:val="right"/>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center"/>
          </w:tcPr>
          <w:p w14:paraId="5F08737F" w14:textId="5FDC431F" w:rsidR="00A005B7" w:rsidRPr="001F33C0" w:rsidRDefault="00A005B7" w:rsidP="000B616F">
            <w:pPr>
              <w:keepNext/>
              <w:keepLines/>
              <w:widowControl/>
              <w:autoSpaceDE/>
              <w:autoSpaceDN/>
              <w:adjustRightInd/>
              <w:jc w:val="center"/>
              <w:rPr>
                <w:color w:val="000000"/>
                <w:sz w:val="20"/>
                <w:szCs w:val="20"/>
              </w:rPr>
            </w:pPr>
          </w:p>
        </w:tc>
      </w:tr>
      <w:tr w:rsidR="00A005B7" w:rsidRPr="001F33C0" w14:paraId="66EB10A6" w14:textId="77777777" w:rsidTr="00355526">
        <w:trPr>
          <w:trHeight w:val="280"/>
        </w:trPr>
        <w:tc>
          <w:tcPr>
            <w:tcW w:w="2594" w:type="dxa"/>
            <w:tcBorders>
              <w:top w:val="nil"/>
              <w:left w:val="single" w:sz="8" w:space="0" w:color="auto"/>
              <w:bottom w:val="nil"/>
              <w:right w:val="nil"/>
            </w:tcBorders>
            <w:shd w:val="clear" w:color="auto" w:fill="404040" w:themeFill="text1" w:themeFillTint="BF"/>
            <w:noWrap/>
            <w:vAlign w:val="bottom"/>
          </w:tcPr>
          <w:p w14:paraId="5DBB36AF" w14:textId="5E741E94" w:rsidR="00A005B7" w:rsidRPr="001F33C0" w:rsidRDefault="00A005B7" w:rsidP="000B616F">
            <w:pPr>
              <w:keepNext/>
              <w:keepLines/>
              <w:widowControl/>
              <w:autoSpaceDE/>
              <w:autoSpaceDN/>
              <w:adjustRightInd/>
              <w:rPr>
                <w:color w:val="000000"/>
                <w:sz w:val="20"/>
                <w:szCs w:val="20"/>
              </w:rPr>
            </w:pPr>
          </w:p>
        </w:tc>
        <w:tc>
          <w:tcPr>
            <w:tcW w:w="1078" w:type="dxa"/>
            <w:tcBorders>
              <w:top w:val="nil"/>
              <w:left w:val="nil"/>
              <w:bottom w:val="nil"/>
              <w:right w:val="nil"/>
            </w:tcBorders>
            <w:shd w:val="clear" w:color="auto" w:fill="404040" w:themeFill="text1" w:themeFillTint="BF"/>
            <w:noWrap/>
            <w:vAlign w:val="bottom"/>
          </w:tcPr>
          <w:p w14:paraId="722DB049" w14:textId="77777777" w:rsidR="00A005B7" w:rsidRPr="001F33C0" w:rsidRDefault="00A005B7" w:rsidP="000B616F">
            <w:pPr>
              <w:keepNext/>
              <w:keepLines/>
              <w:widowControl/>
              <w:autoSpaceDE/>
              <w:autoSpaceDN/>
              <w:adjustRightInd/>
              <w:rPr>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5DD0E31E" w14:textId="77777777" w:rsidR="00A005B7" w:rsidRPr="001F33C0" w:rsidRDefault="00A005B7" w:rsidP="000B616F">
            <w:pPr>
              <w:keepNext/>
              <w:keepLines/>
              <w:widowControl/>
              <w:autoSpaceDE/>
              <w:autoSpaceDN/>
              <w:adjustRightInd/>
              <w:rPr>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31A5E6D1"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4494AF80" w14:textId="77777777" w:rsidR="00A005B7" w:rsidRPr="001F33C0" w:rsidRDefault="00A005B7" w:rsidP="000B616F">
            <w:pPr>
              <w:keepNext/>
              <w:keepLines/>
              <w:widowControl/>
              <w:autoSpaceDE/>
              <w:autoSpaceDN/>
              <w:adjustRightInd/>
              <w:rPr>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171D9798" w14:textId="77777777" w:rsidR="00A005B7" w:rsidRPr="001F33C0" w:rsidRDefault="00A005B7" w:rsidP="000B616F">
            <w:pPr>
              <w:keepNext/>
              <w:keepLines/>
              <w:widowControl/>
              <w:autoSpaceDE/>
              <w:autoSpaceDN/>
              <w:adjustRightInd/>
              <w:rPr>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654D70BE" w14:textId="21DE0BB7" w:rsidR="00A005B7" w:rsidRPr="001F33C0" w:rsidRDefault="00A005B7" w:rsidP="000B616F">
            <w:pPr>
              <w:keepNext/>
              <w:keepLines/>
              <w:widowControl/>
              <w:autoSpaceDE/>
              <w:autoSpaceDN/>
              <w:adjustRightInd/>
              <w:rPr>
                <w:color w:val="000000"/>
                <w:sz w:val="20"/>
                <w:szCs w:val="20"/>
              </w:rPr>
            </w:pPr>
          </w:p>
        </w:tc>
      </w:tr>
      <w:tr w:rsidR="00A005B7" w:rsidRPr="001F33C0" w14:paraId="17E3A621" w14:textId="77777777" w:rsidTr="00355526">
        <w:trPr>
          <w:trHeight w:val="280"/>
        </w:trPr>
        <w:tc>
          <w:tcPr>
            <w:tcW w:w="3672" w:type="dxa"/>
            <w:gridSpan w:val="2"/>
            <w:tcBorders>
              <w:top w:val="nil"/>
              <w:left w:val="single" w:sz="8" w:space="0" w:color="auto"/>
              <w:bottom w:val="nil"/>
              <w:right w:val="nil"/>
            </w:tcBorders>
            <w:shd w:val="clear" w:color="auto" w:fill="404040" w:themeFill="text1" w:themeFillTint="BF"/>
            <w:noWrap/>
            <w:vAlign w:val="bottom"/>
          </w:tcPr>
          <w:p w14:paraId="62EA9229" w14:textId="6B221B28" w:rsidR="00A005B7" w:rsidRPr="001F33C0" w:rsidRDefault="00A005B7" w:rsidP="000B616F">
            <w:pPr>
              <w:keepNext/>
              <w:keepLines/>
              <w:widowControl/>
              <w:autoSpaceDE/>
              <w:autoSpaceDN/>
              <w:adjustRightInd/>
              <w:ind w:firstLine="217"/>
              <w:rPr>
                <w:b/>
                <w:bCs/>
                <w:color w:val="000000"/>
                <w:sz w:val="20"/>
                <w:szCs w:val="20"/>
              </w:rPr>
            </w:pPr>
          </w:p>
        </w:tc>
        <w:tc>
          <w:tcPr>
            <w:tcW w:w="1056" w:type="dxa"/>
            <w:tcBorders>
              <w:top w:val="nil"/>
              <w:left w:val="nil"/>
              <w:bottom w:val="nil"/>
              <w:right w:val="nil"/>
            </w:tcBorders>
            <w:shd w:val="clear" w:color="auto" w:fill="404040" w:themeFill="text1" w:themeFillTint="BF"/>
            <w:noWrap/>
            <w:vAlign w:val="bottom"/>
          </w:tcPr>
          <w:p w14:paraId="5BF61146" w14:textId="2591F2F3" w:rsidR="00A005B7" w:rsidRPr="001F33C0" w:rsidRDefault="00A005B7" w:rsidP="000B616F">
            <w:pPr>
              <w:keepNext/>
              <w:keepLines/>
              <w:widowControl/>
              <w:autoSpaceDE/>
              <w:autoSpaceDN/>
              <w:adjustRightInd/>
              <w:jc w:val="right"/>
              <w:rPr>
                <w:b/>
                <w:bCs/>
                <w:color w:val="000000"/>
                <w:sz w:val="20"/>
                <w:szCs w:val="20"/>
              </w:rPr>
            </w:pPr>
          </w:p>
        </w:tc>
        <w:tc>
          <w:tcPr>
            <w:tcW w:w="80" w:type="dxa"/>
            <w:tcBorders>
              <w:top w:val="nil"/>
              <w:left w:val="nil"/>
              <w:bottom w:val="nil"/>
              <w:right w:val="nil"/>
            </w:tcBorders>
            <w:shd w:val="clear" w:color="auto" w:fill="404040" w:themeFill="text1" w:themeFillTint="BF"/>
            <w:noWrap/>
            <w:vAlign w:val="bottom"/>
          </w:tcPr>
          <w:p w14:paraId="0A01973B" w14:textId="77777777" w:rsidR="00A005B7" w:rsidRPr="001F33C0" w:rsidRDefault="00A005B7" w:rsidP="000B616F">
            <w:pPr>
              <w:keepNext/>
              <w:keepLines/>
              <w:widowControl/>
              <w:autoSpaceDE/>
              <w:autoSpaceDN/>
              <w:adjustRightInd/>
              <w:rPr>
                <w:color w:val="000000"/>
                <w:sz w:val="20"/>
                <w:szCs w:val="20"/>
              </w:rPr>
            </w:pPr>
          </w:p>
        </w:tc>
        <w:tc>
          <w:tcPr>
            <w:tcW w:w="3118" w:type="dxa"/>
            <w:tcBorders>
              <w:top w:val="nil"/>
              <w:left w:val="nil"/>
              <w:bottom w:val="nil"/>
              <w:right w:val="nil"/>
            </w:tcBorders>
            <w:shd w:val="clear" w:color="auto" w:fill="404040" w:themeFill="text1" w:themeFillTint="BF"/>
            <w:noWrap/>
            <w:vAlign w:val="bottom"/>
          </w:tcPr>
          <w:p w14:paraId="7A135C04" w14:textId="5612AD5F" w:rsidR="00A005B7" w:rsidRPr="001F33C0" w:rsidRDefault="00A005B7" w:rsidP="000B616F">
            <w:pPr>
              <w:keepNext/>
              <w:keepLines/>
              <w:widowControl/>
              <w:autoSpaceDE/>
              <w:autoSpaceDN/>
              <w:adjustRightInd/>
              <w:ind w:firstLine="217"/>
              <w:rPr>
                <w:b/>
                <w:bCs/>
                <w:color w:val="000000"/>
                <w:sz w:val="20"/>
                <w:szCs w:val="20"/>
              </w:rPr>
            </w:pPr>
          </w:p>
        </w:tc>
        <w:tc>
          <w:tcPr>
            <w:tcW w:w="1038" w:type="dxa"/>
            <w:tcBorders>
              <w:top w:val="nil"/>
              <w:left w:val="nil"/>
              <w:bottom w:val="nil"/>
              <w:right w:val="nil"/>
            </w:tcBorders>
            <w:shd w:val="clear" w:color="auto" w:fill="404040" w:themeFill="text1" w:themeFillTint="BF"/>
            <w:noWrap/>
            <w:vAlign w:val="bottom"/>
          </w:tcPr>
          <w:p w14:paraId="53BDFE63" w14:textId="7446AAC8" w:rsidR="00A005B7" w:rsidRPr="001F33C0" w:rsidRDefault="00A005B7" w:rsidP="000B616F">
            <w:pPr>
              <w:keepNext/>
              <w:keepLines/>
              <w:widowControl/>
              <w:autoSpaceDE/>
              <w:autoSpaceDN/>
              <w:adjustRightInd/>
              <w:jc w:val="right"/>
              <w:rPr>
                <w:b/>
                <w:bCs/>
                <w:color w:val="000000"/>
                <w:sz w:val="20"/>
                <w:szCs w:val="20"/>
              </w:rPr>
            </w:pPr>
          </w:p>
        </w:tc>
        <w:tc>
          <w:tcPr>
            <w:tcW w:w="1056" w:type="dxa"/>
            <w:tcBorders>
              <w:top w:val="nil"/>
              <w:left w:val="nil"/>
              <w:bottom w:val="nil"/>
              <w:right w:val="single" w:sz="8" w:space="0" w:color="auto"/>
            </w:tcBorders>
            <w:shd w:val="clear" w:color="auto" w:fill="404040" w:themeFill="text1" w:themeFillTint="BF"/>
            <w:noWrap/>
            <w:vAlign w:val="bottom"/>
          </w:tcPr>
          <w:p w14:paraId="3AD4FC66" w14:textId="27C60F53" w:rsidR="00A005B7" w:rsidRPr="001F33C0" w:rsidRDefault="00A005B7" w:rsidP="000B616F">
            <w:pPr>
              <w:keepNext/>
              <w:keepLines/>
              <w:widowControl/>
              <w:autoSpaceDE/>
              <w:autoSpaceDN/>
              <w:adjustRightInd/>
              <w:jc w:val="right"/>
              <w:rPr>
                <w:b/>
                <w:bCs/>
                <w:color w:val="000000"/>
                <w:sz w:val="20"/>
                <w:szCs w:val="20"/>
              </w:rPr>
            </w:pPr>
          </w:p>
        </w:tc>
      </w:tr>
      <w:tr w:rsidR="00A005B7" w:rsidRPr="001F33C0" w14:paraId="643B5DFD" w14:textId="77777777" w:rsidTr="00355526">
        <w:trPr>
          <w:trHeight w:val="300"/>
        </w:trPr>
        <w:tc>
          <w:tcPr>
            <w:tcW w:w="2594" w:type="dxa"/>
            <w:tcBorders>
              <w:top w:val="nil"/>
              <w:left w:val="single" w:sz="8" w:space="0" w:color="auto"/>
              <w:bottom w:val="single" w:sz="8" w:space="0" w:color="auto"/>
              <w:right w:val="nil"/>
            </w:tcBorders>
            <w:shd w:val="clear" w:color="auto" w:fill="404040" w:themeFill="text1" w:themeFillTint="BF"/>
            <w:noWrap/>
            <w:vAlign w:val="bottom"/>
            <w:hideMark/>
          </w:tcPr>
          <w:p w14:paraId="136907FF" w14:textId="77777777" w:rsidR="00A005B7" w:rsidRPr="001F33C0" w:rsidRDefault="00A005B7" w:rsidP="000B616F">
            <w:pPr>
              <w:keepNext/>
              <w:keepLines/>
              <w:widowControl/>
              <w:autoSpaceDE/>
              <w:autoSpaceDN/>
              <w:adjustRightInd/>
              <w:rPr>
                <w:color w:val="000000"/>
                <w:sz w:val="20"/>
                <w:szCs w:val="20"/>
              </w:rPr>
            </w:pPr>
            <w:r w:rsidRPr="001F33C0">
              <w:rPr>
                <w:color w:val="000000"/>
                <w:sz w:val="20"/>
                <w:szCs w:val="20"/>
              </w:rPr>
              <w:t> </w:t>
            </w:r>
          </w:p>
        </w:tc>
        <w:tc>
          <w:tcPr>
            <w:tcW w:w="1078" w:type="dxa"/>
            <w:tcBorders>
              <w:top w:val="nil"/>
              <w:left w:val="nil"/>
              <w:bottom w:val="single" w:sz="8" w:space="0" w:color="auto"/>
              <w:right w:val="nil"/>
            </w:tcBorders>
            <w:shd w:val="clear" w:color="auto" w:fill="404040" w:themeFill="text1" w:themeFillTint="BF"/>
            <w:noWrap/>
            <w:vAlign w:val="bottom"/>
            <w:hideMark/>
          </w:tcPr>
          <w:p w14:paraId="3F648A78" w14:textId="77777777" w:rsidR="00A005B7" w:rsidRPr="001F33C0" w:rsidRDefault="00A005B7" w:rsidP="000B616F">
            <w:pPr>
              <w:keepNext/>
              <w:keepLines/>
              <w:widowControl/>
              <w:autoSpaceDE/>
              <w:autoSpaceDN/>
              <w:adjustRightInd/>
              <w:rPr>
                <w:color w:val="000000"/>
                <w:sz w:val="20"/>
                <w:szCs w:val="20"/>
              </w:rPr>
            </w:pPr>
            <w:r w:rsidRPr="001F33C0">
              <w:rPr>
                <w:color w:val="000000"/>
                <w:sz w:val="20"/>
                <w:szCs w:val="20"/>
              </w:rPr>
              <w:t> </w:t>
            </w:r>
          </w:p>
        </w:tc>
        <w:tc>
          <w:tcPr>
            <w:tcW w:w="1056" w:type="dxa"/>
            <w:tcBorders>
              <w:top w:val="nil"/>
              <w:left w:val="nil"/>
              <w:bottom w:val="single" w:sz="8" w:space="0" w:color="auto"/>
              <w:right w:val="nil"/>
            </w:tcBorders>
            <w:shd w:val="clear" w:color="auto" w:fill="404040" w:themeFill="text1" w:themeFillTint="BF"/>
            <w:noWrap/>
            <w:vAlign w:val="bottom"/>
            <w:hideMark/>
          </w:tcPr>
          <w:p w14:paraId="0F20E65A" w14:textId="77777777" w:rsidR="00A005B7" w:rsidRPr="001F33C0" w:rsidRDefault="00A005B7" w:rsidP="000B616F">
            <w:pPr>
              <w:keepNext/>
              <w:keepLines/>
              <w:widowControl/>
              <w:autoSpaceDE/>
              <w:autoSpaceDN/>
              <w:adjustRightInd/>
              <w:rPr>
                <w:color w:val="000000"/>
                <w:sz w:val="20"/>
                <w:szCs w:val="20"/>
              </w:rPr>
            </w:pPr>
            <w:r w:rsidRPr="001F33C0">
              <w:rPr>
                <w:color w:val="000000"/>
                <w:sz w:val="20"/>
                <w:szCs w:val="20"/>
              </w:rPr>
              <w:t> </w:t>
            </w:r>
          </w:p>
        </w:tc>
        <w:tc>
          <w:tcPr>
            <w:tcW w:w="80" w:type="dxa"/>
            <w:tcBorders>
              <w:top w:val="nil"/>
              <w:left w:val="nil"/>
              <w:bottom w:val="single" w:sz="8" w:space="0" w:color="auto"/>
              <w:right w:val="nil"/>
            </w:tcBorders>
            <w:shd w:val="clear" w:color="auto" w:fill="404040" w:themeFill="text1" w:themeFillTint="BF"/>
            <w:noWrap/>
            <w:vAlign w:val="bottom"/>
            <w:hideMark/>
          </w:tcPr>
          <w:p w14:paraId="7C31CC7B" w14:textId="77777777" w:rsidR="00A005B7" w:rsidRPr="001F33C0" w:rsidRDefault="00A005B7" w:rsidP="000B616F">
            <w:pPr>
              <w:keepNext/>
              <w:keepLines/>
              <w:widowControl/>
              <w:autoSpaceDE/>
              <w:autoSpaceDN/>
              <w:adjustRightInd/>
              <w:rPr>
                <w:color w:val="000000"/>
                <w:sz w:val="20"/>
                <w:szCs w:val="20"/>
              </w:rPr>
            </w:pPr>
            <w:r w:rsidRPr="001F33C0">
              <w:rPr>
                <w:color w:val="000000"/>
                <w:sz w:val="20"/>
                <w:szCs w:val="20"/>
              </w:rPr>
              <w:t> </w:t>
            </w:r>
          </w:p>
        </w:tc>
        <w:tc>
          <w:tcPr>
            <w:tcW w:w="3118" w:type="dxa"/>
            <w:tcBorders>
              <w:top w:val="nil"/>
              <w:left w:val="nil"/>
              <w:bottom w:val="single" w:sz="8" w:space="0" w:color="auto"/>
              <w:right w:val="nil"/>
            </w:tcBorders>
            <w:shd w:val="clear" w:color="auto" w:fill="404040" w:themeFill="text1" w:themeFillTint="BF"/>
            <w:noWrap/>
            <w:vAlign w:val="bottom"/>
            <w:hideMark/>
          </w:tcPr>
          <w:p w14:paraId="1D7E76F5" w14:textId="77777777" w:rsidR="00A005B7" w:rsidRPr="001F33C0" w:rsidRDefault="00A005B7" w:rsidP="000B616F">
            <w:pPr>
              <w:keepNext/>
              <w:keepLines/>
              <w:widowControl/>
              <w:autoSpaceDE/>
              <w:autoSpaceDN/>
              <w:adjustRightInd/>
              <w:rPr>
                <w:color w:val="000000"/>
                <w:sz w:val="20"/>
                <w:szCs w:val="20"/>
              </w:rPr>
            </w:pPr>
            <w:r w:rsidRPr="001F33C0">
              <w:rPr>
                <w:color w:val="000000"/>
                <w:sz w:val="20"/>
                <w:szCs w:val="20"/>
              </w:rPr>
              <w:t> </w:t>
            </w:r>
          </w:p>
        </w:tc>
        <w:tc>
          <w:tcPr>
            <w:tcW w:w="1038" w:type="dxa"/>
            <w:tcBorders>
              <w:top w:val="nil"/>
              <w:left w:val="nil"/>
              <w:bottom w:val="single" w:sz="8" w:space="0" w:color="auto"/>
              <w:right w:val="nil"/>
            </w:tcBorders>
            <w:shd w:val="clear" w:color="auto" w:fill="404040" w:themeFill="text1" w:themeFillTint="BF"/>
            <w:noWrap/>
            <w:vAlign w:val="bottom"/>
            <w:hideMark/>
          </w:tcPr>
          <w:p w14:paraId="17A65A9D" w14:textId="77777777" w:rsidR="00A005B7" w:rsidRPr="001F33C0" w:rsidRDefault="00A005B7" w:rsidP="000B616F">
            <w:pPr>
              <w:keepNext/>
              <w:keepLines/>
              <w:widowControl/>
              <w:autoSpaceDE/>
              <w:autoSpaceDN/>
              <w:adjustRightInd/>
              <w:rPr>
                <w:color w:val="000000"/>
                <w:sz w:val="20"/>
                <w:szCs w:val="20"/>
              </w:rPr>
            </w:pPr>
            <w:r w:rsidRPr="001F33C0">
              <w:rPr>
                <w:color w:val="000000"/>
                <w:sz w:val="20"/>
                <w:szCs w:val="20"/>
              </w:rPr>
              <w:t> </w:t>
            </w:r>
          </w:p>
        </w:tc>
        <w:tc>
          <w:tcPr>
            <w:tcW w:w="1056" w:type="dxa"/>
            <w:tcBorders>
              <w:top w:val="nil"/>
              <w:left w:val="nil"/>
              <w:bottom w:val="single" w:sz="8" w:space="0" w:color="auto"/>
              <w:right w:val="single" w:sz="8" w:space="0" w:color="auto"/>
            </w:tcBorders>
            <w:shd w:val="clear" w:color="auto" w:fill="404040" w:themeFill="text1" w:themeFillTint="BF"/>
            <w:noWrap/>
            <w:vAlign w:val="bottom"/>
            <w:hideMark/>
          </w:tcPr>
          <w:p w14:paraId="63EF090F" w14:textId="77777777" w:rsidR="00A005B7" w:rsidRPr="001F33C0" w:rsidRDefault="00A005B7" w:rsidP="000B616F">
            <w:pPr>
              <w:keepNext/>
              <w:keepLines/>
              <w:widowControl/>
              <w:autoSpaceDE/>
              <w:autoSpaceDN/>
              <w:adjustRightInd/>
              <w:rPr>
                <w:color w:val="000000"/>
                <w:sz w:val="20"/>
                <w:szCs w:val="20"/>
              </w:rPr>
            </w:pPr>
            <w:r w:rsidRPr="001F33C0">
              <w:rPr>
                <w:color w:val="000000"/>
                <w:sz w:val="20"/>
                <w:szCs w:val="20"/>
              </w:rPr>
              <w:t> </w:t>
            </w:r>
          </w:p>
        </w:tc>
      </w:tr>
    </w:tbl>
    <w:p w14:paraId="54918F12" w14:textId="77777777" w:rsidR="00A005B7" w:rsidRPr="00DB5682" w:rsidRDefault="00A005B7" w:rsidP="00A005B7">
      <w:pPr>
        <w:keepNext/>
        <w:keepLines/>
        <w:spacing w:line="480" w:lineRule="auto"/>
        <w:ind w:left="720" w:hanging="720"/>
        <w:rPr>
          <w:b/>
        </w:rPr>
      </w:pPr>
      <w:r>
        <w:rPr>
          <w:b/>
        </w:rPr>
        <w:t>END CONFIDENTIAL&gt;&gt;&gt;</w:t>
      </w:r>
    </w:p>
    <w:p w14:paraId="6F2A8F69" w14:textId="77777777" w:rsidR="00A005B7" w:rsidRPr="004C2DA7" w:rsidRDefault="00A005B7" w:rsidP="00A005B7">
      <w:pPr>
        <w:spacing w:line="480" w:lineRule="auto"/>
        <w:ind w:left="720" w:hanging="720"/>
        <w:rPr>
          <w:b/>
        </w:rPr>
      </w:pPr>
      <w:r w:rsidRPr="004C2DA7">
        <w:rPr>
          <w:b/>
        </w:rPr>
        <w:t>Rate Impact of Competition on Consumers</w:t>
      </w:r>
    </w:p>
    <w:p w14:paraId="4ECCA23C" w14:textId="77777777" w:rsidR="00A005B7" w:rsidRDefault="00A005B7" w:rsidP="00A005B7">
      <w:pPr>
        <w:spacing w:line="480" w:lineRule="auto"/>
        <w:ind w:left="720" w:hanging="720"/>
        <w:rPr>
          <w:b/>
        </w:rPr>
      </w:pPr>
      <w:r>
        <w:rPr>
          <w:b/>
        </w:rPr>
        <w:t>Q:</w:t>
      </w:r>
      <w:r>
        <w:rPr>
          <w:b/>
        </w:rPr>
        <w:tab/>
        <w:t>Have you calculated the monetary impact of these rate differentials?</w:t>
      </w:r>
    </w:p>
    <w:p w14:paraId="1B78B1A3" w14:textId="77777777" w:rsidR="005542A9" w:rsidRDefault="00491B96" w:rsidP="00EA2F13">
      <w:pPr>
        <w:spacing w:line="480" w:lineRule="auto"/>
        <w:ind w:left="720" w:hanging="720"/>
      </w:pPr>
      <w:r>
        <w:t>A:</w:t>
      </w:r>
      <w:r>
        <w:tab/>
        <w:t>Yes.  We</w:t>
      </w:r>
      <w:r w:rsidR="00A005B7">
        <w:t xml:space="preserve"> made </w:t>
      </w:r>
      <w:r w:rsidR="00866868">
        <w:t xml:space="preserve">several different </w:t>
      </w:r>
      <w:r w:rsidR="00A005B7">
        <w:t>calculations</w:t>
      </w:r>
      <w:r w:rsidR="00866868">
        <w:t xml:space="preserve"> to assess the impact of these rate differentials on households</w:t>
      </w:r>
      <w:r w:rsidR="005542A9">
        <w:t xml:space="preserve"> in </w:t>
      </w:r>
      <w:r w:rsidR="00E943AD">
        <w:t>CL&amp;P’s and UI’s territories.</w:t>
      </w:r>
      <w:r w:rsidR="00A005B7">
        <w:t xml:space="preserve">  First, </w:t>
      </w:r>
      <w:r>
        <w:t xml:space="preserve">we compared </w:t>
      </w:r>
      <w:r w:rsidR="00A005B7">
        <w:t xml:space="preserve">the </w:t>
      </w:r>
      <w:r w:rsidR="00EA2F13">
        <w:t xml:space="preserve">payment for an </w:t>
      </w:r>
      <w:r w:rsidR="00A005B7">
        <w:t>“average” household</w:t>
      </w:r>
      <w:r w:rsidR="00EA2F13">
        <w:t xml:space="preserve">’s monthly </w:t>
      </w:r>
      <w:r w:rsidR="00A005B7">
        <w:t xml:space="preserve">electricity per month </w:t>
      </w:r>
      <w:r w:rsidR="00EA2F13">
        <w:t xml:space="preserve">based on </w:t>
      </w:r>
      <w:r w:rsidR="002D2FA2">
        <w:t xml:space="preserve">each of </w:t>
      </w:r>
      <w:r w:rsidR="00EA2F13">
        <w:t xml:space="preserve">the EDCs’ </w:t>
      </w:r>
      <w:r>
        <w:t>Standard O</w:t>
      </w:r>
      <w:r w:rsidR="00A005B7">
        <w:t>ffer</w:t>
      </w:r>
      <w:r w:rsidR="00597C95">
        <w:t>s</w:t>
      </w:r>
      <w:r w:rsidR="00A005B7">
        <w:t xml:space="preserve"> with the </w:t>
      </w:r>
      <w:r w:rsidR="005D1458">
        <w:t xml:space="preserve">payment for the same usage based on the weighted average rate charged by </w:t>
      </w:r>
      <w:r>
        <w:t>S</w:t>
      </w:r>
      <w:r w:rsidR="00A005B7">
        <w:t>uppliers</w:t>
      </w:r>
      <w:r w:rsidR="002D2FA2">
        <w:t xml:space="preserve"> within each of the two EDCs’ regions</w:t>
      </w:r>
      <w:r w:rsidR="005D1458">
        <w:t xml:space="preserve">. </w:t>
      </w:r>
      <w:r w:rsidR="00EA2F13">
        <w:t xml:space="preserve"> We based our calculations assuming an </w:t>
      </w:r>
      <w:r w:rsidR="00A005B7">
        <w:t xml:space="preserve">average usage </w:t>
      </w:r>
      <w:r w:rsidR="00EA2F13">
        <w:t>of</w:t>
      </w:r>
      <w:r w:rsidR="00A005B7">
        <w:t xml:space="preserve"> 750 kWh/month for non-heating customers.</w:t>
      </w:r>
      <w:r w:rsidR="00A005B7">
        <w:rPr>
          <w:rStyle w:val="FootnoteReference"/>
        </w:rPr>
        <w:footnoteReference w:id="62"/>
      </w:r>
      <w:r w:rsidR="00A005B7">
        <w:t xml:space="preserve">  </w:t>
      </w:r>
      <w:r w:rsidR="005D1458">
        <w:t xml:space="preserve"> Next, again assuming </w:t>
      </w:r>
      <w:r w:rsidR="002D2FA2">
        <w:t>the same</w:t>
      </w:r>
      <w:r w:rsidR="005D1458">
        <w:t xml:space="preserve"> average usage of 750 kWh/month, we compared</w:t>
      </w:r>
      <w:r w:rsidR="002D2FA2">
        <w:t xml:space="preserve"> rates using illustrative high S</w:t>
      </w:r>
      <w:r w:rsidR="005D1458">
        <w:t xml:space="preserve">upplier rates to illustrate the </w:t>
      </w:r>
      <w:r w:rsidR="002D2FA2">
        <w:t xml:space="preserve">upper end of the </w:t>
      </w:r>
      <w:r w:rsidR="005D1458">
        <w:t xml:space="preserve">range of harm that </w:t>
      </w:r>
      <w:r w:rsidR="002D2FA2">
        <w:t xml:space="preserve">some individual consumers are experiencing in today’s </w:t>
      </w:r>
      <w:r w:rsidR="005D1458">
        <w:t>market.</w:t>
      </w:r>
    </w:p>
    <w:p w14:paraId="00438BE4" w14:textId="77777777" w:rsidR="005D1458" w:rsidRDefault="005D1458" w:rsidP="00EA2F13">
      <w:pPr>
        <w:spacing w:line="480" w:lineRule="auto"/>
        <w:ind w:left="720" w:hanging="720"/>
        <w:rPr>
          <w:b/>
        </w:rPr>
      </w:pPr>
      <w:r>
        <w:rPr>
          <w:b/>
        </w:rPr>
        <w:t>Q:</w:t>
      </w:r>
      <w:r>
        <w:rPr>
          <w:b/>
        </w:rPr>
        <w:tab/>
        <w:t xml:space="preserve">What did you find </w:t>
      </w:r>
      <w:r w:rsidR="00611102">
        <w:rPr>
          <w:b/>
        </w:rPr>
        <w:t>for the CL&amp;P territory</w:t>
      </w:r>
      <w:r w:rsidR="002D2FA2">
        <w:rPr>
          <w:b/>
        </w:rPr>
        <w:t xml:space="preserve">? </w:t>
      </w:r>
    </w:p>
    <w:p w14:paraId="3A5A5CDB" w14:textId="77777777" w:rsidR="005D1458" w:rsidRDefault="005D1458" w:rsidP="0071676F">
      <w:pPr>
        <w:spacing w:line="480" w:lineRule="auto"/>
        <w:ind w:left="720" w:hanging="720"/>
      </w:pPr>
      <w:r>
        <w:t>A:</w:t>
      </w:r>
      <w:r>
        <w:tab/>
      </w:r>
      <w:r w:rsidR="00A005B7">
        <w:t xml:space="preserve">In September 2013 (the most recent pricing data </w:t>
      </w:r>
      <w:r w:rsidR="00491B96">
        <w:t>we</w:t>
      </w:r>
      <w:r w:rsidR="00A005B7">
        <w:t xml:space="preserve"> have), </w:t>
      </w:r>
      <w:r>
        <w:t xml:space="preserve">on </w:t>
      </w:r>
      <w:r w:rsidR="00491B96">
        <w:t>average</w:t>
      </w:r>
      <w:r>
        <w:t xml:space="preserve">, </w:t>
      </w:r>
      <w:r w:rsidR="00491B96">
        <w:t>consumer</w:t>
      </w:r>
      <w:r w:rsidR="000207EC">
        <w:t>s</w:t>
      </w:r>
      <w:r w:rsidR="00491B96">
        <w:t xml:space="preserve"> on CL&amp;P’s Standard O</w:t>
      </w:r>
      <w:r w:rsidR="00A005B7">
        <w:t xml:space="preserve">ffer rate of 0.07573 would </w:t>
      </w:r>
      <w:r w:rsidR="00C90E5B">
        <w:t>have paid</w:t>
      </w:r>
      <w:r w:rsidR="00A005B7">
        <w:t xml:space="preserve"> $56.80 per month</w:t>
      </w:r>
      <w:r w:rsidR="00BA380F">
        <w:t xml:space="preserve"> for the generation portion of their bill</w:t>
      </w:r>
      <w:r w:rsidR="000207EC">
        <w:t>s</w:t>
      </w:r>
      <w:r w:rsidR="00491B96">
        <w:t xml:space="preserve">.  </w:t>
      </w:r>
      <w:r w:rsidR="0071676F">
        <w:t xml:space="preserve"> </w:t>
      </w:r>
      <w:r w:rsidR="0071676F" w:rsidRPr="0071676F">
        <w:t xml:space="preserve">By contrast, consumers in CL&amp;P’s territory who purchased service from a Supplier paid a weighted average rate of 0.10763, resulting in an average total monthly charge per consumer of $80.72.  </w:t>
      </w:r>
      <w:r>
        <w:t>Therefore, o</w:t>
      </w:r>
      <w:r w:rsidR="00491B96">
        <w:t xml:space="preserve">n average, a </w:t>
      </w:r>
      <w:r w:rsidR="00A005B7">
        <w:t xml:space="preserve">consumer </w:t>
      </w:r>
      <w:r w:rsidR="00491B96">
        <w:t>in CL&amp;P’s territory who purchase</w:t>
      </w:r>
      <w:r>
        <w:t>d</w:t>
      </w:r>
      <w:r w:rsidR="00491B96">
        <w:t xml:space="preserve"> service from a Supplier </w:t>
      </w:r>
      <w:r w:rsidR="00A005B7">
        <w:t xml:space="preserve">paid $23.93 </w:t>
      </w:r>
      <w:r w:rsidR="00491B96">
        <w:rPr>
          <w:i/>
        </w:rPr>
        <w:t xml:space="preserve">more than </w:t>
      </w:r>
      <w:r w:rsidR="00491B96">
        <w:t>a consumer who purchased service through a Stand</w:t>
      </w:r>
      <w:r>
        <w:t>a</w:t>
      </w:r>
      <w:r w:rsidR="00491B96">
        <w:t xml:space="preserve">rd Offer </w:t>
      </w:r>
      <w:r w:rsidR="00A005B7">
        <w:t>in September 2013.</w:t>
      </w:r>
      <w:r w:rsidR="005542A9">
        <w:t xml:space="preserve"> </w:t>
      </w:r>
    </w:p>
    <w:p w14:paraId="37A90BC9" w14:textId="77777777" w:rsidR="005D1458" w:rsidRDefault="005D1458" w:rsidP="005D1458">
      <w:pPr>
        <w:spacing w:line="480" w:lineRule="auto"/>
        <w:ind w:left="720" w:hanging="720"/>
      </w:pPr>
    </w:p>
    <w:p w14:paraId="6B35F828" w14:textId="77777777" w:rsidR="00491B96" w:rsidRDefault="002D2FA2" w:rsidP="005D1458">
      <w:pPr>
        <w:spacing w:line="480" w:lineRule="auto"/>
        <w:ind w:left="720"/>
      </w:pPr>
      <w:r>
        <w:t xml:space="preserve">As Confidential Exhibit 5 and our review of consumer complaints show, Suppliers charge a wide range of rates, and, therefore, it is also important to consider the impact of Suppliers’ charges on the consumers who are, perhaps unwittingly, paying extremely high rates. </w:t>
      </w:r>
      <w:r w:rsidR="005542A9">
        <w:t xml:space="preserve"> </w:t>
      </w:r>
      <w:r>
        <w:t>For example, a</w:t>
      </w:r>
      <w:r w:rsidR="006F3722">
        <w:t>n</w:t>
      </w:r>
      <w:r w:rsidR="005542A9">
        <w:t xml:space="preserve"> </w:t>
      </w:r>
      <w:r w:rsidR="000E5AA3">
        <w:t xml:space="preserve">average-use </w:t>
      </w:r>
      <w:r w:rsidR="005542A9">
        <w:t xml:space="preserve">consumer who purchased service at $0.2000 per kWh would have paid a Supplier $150 per month, or $93 </w:t>
      </w:r>
      <w:r w:rsidR="000E5AA3">
        <w:t xml:space="preserve">per month </w:t>
      </w:r>
      <w:r w:rsidR="005542A9" w:rsidRPr="005542A9">
        <w:rPr>
          <w:i/>
        </w:rPr>
        <w:t>above</w:t>
      </w:r>
      <w:r w:rsidR="005542A9">
        <w:t xml:space="preserve"> the Standard Offer</w:t>
      </w:r>
      <w:r w:rsidR="000E5AA3">
        <w:t xml:space="preserve">, </w:t>
      </w:r>
      <w:r w:rsidR="005542A9">
        <w:t>and a</w:t>
      </w:r>
      <w:r w:rsidR="006F3722">
        <w:t>n</w:t>
      </w:r>
      <w:r w:rsidR="000E5AA3">
        <w:t>, average-use</w:t>
      </w:r>
      <w:r w:rsidR="005542A9">
        <w:t xml:space="preserve"> consumer who purchased service at $0.1500 per kWh would have paid a Supplier $112.50 per month, or $56 </w:t>
      </w:r>
      <w:r w:rsidR="000E5AA3">
        <w:t xml:space="preserve">per month </w:t>
      </w:r>
      <w:r w:rsidR="005542A9" w:rsidRPr="005542A9">
        <w:rPr>
          <w:i/>
        </w:rPr>
        <w:t>above</w:t>
      </w:r>
      <w:r w:rsidR="005542A9">
        <w:t xml:space="preserve"> the Standard Offer.  Based on our review of consumer complaints, it is clear that both of these</w:t>
      </w:r>
      <w:r w:rsidR="005D1458">
        <w:t xml:space="preserve"> pricing </w:t>
      </w:r>
      <w:r w:rsidR="005542A9">
        <w:t xml:space="preserve">scenarios are plausible. </w:t>
      </w:r>
    </w:p>
    <w:p w14:paraId="107E0414" w14:textId="77777777" w:rsidR="00495539" w:rsidRDefault="00495539" w:rsidP="00D03E69">
      <w:pPr>
        <w:spacing w:line="480" w:lineRule="auto"/>
        <w:ind w:left="720" w:hanging="720"/>
        <w:rPr>
          <w:b/>
        </w:rPr>
      </w:pPr>
      <w:r>
        <w:rPr>
          <w:b/>
        </w:rPr>
        <w:t>Q:</w:t>
      </w:r>
      <w:r>
        <w:rPr>
          <w:b/>
        </w:rPr>
        <w:tab/>
        <w:t>Did you prepare any graphical representation of the financial harm that Suppliers’ consumers are experiencing in the CL&amp;P footprint?</w:t>
      </w:r>
    </w:p>
    <w:p w14:paraId="4D6F3C52" w14:textId="77777777" w:rsidR="00D03E69" w:rsidRDefault="00D03E69" w:rsidP="00D03E69">
      <w:pPr>
        <w:spacing w:line="480" w:lineRule="auto"/>
        <w:ind w:left="720" w:hanging="720"/>
      </w:pPr>
      <w:r>
        <w:t>A:</w:t>
      </w:r>
      <w:r>
        <w:tab/>
        <w:t xml:space="preserve">Yes. </w:t>
      </w:r>
      <w:r w:rsidR="000B2941">
        <w:t xml:space="preserve"> </w:t>
      </w:r>
      <w:r>
        <w:t>Figure 1 below shows that only 13% of customers who have chosen Suppliers pay less than CL&amp;P’s Standard Offer</w:t>
      </w:r>
      <w:r w:rsidR="00CE455B">
        <w:t>, and</w:t>
      </w:r>
      <w:r w:rsidR="00A56D38">
        <w:t xml:space="preserve">, with the exception of a very few outliers, </w:t>
      </w:r>
      <w:r w:rsidR="00CE455B">
        <w:t xml:space="preserve">no customer pays less </w:t>
      </w:r>
      <w:r w:rsidR="00CE455B" w:rsidRPr="00A56D38">
        <w:t xml:space="preserve">than </w:t>
      </w:r>
      <w:r w:rsidR="00A56D38">
        <w:t>6.3</w:t>
      </w:r>
      <w:r w:rsidR="00CE455B" w:rsidRPr="00A56D38">
        <w:t xml:space="preserve"> cents</w:t>
      </w:r>
      <w:r w:rsidR="00CE455B">
        <w:t xml:space="preserve"> per kW</w:t>
      </w:r>
      <w:r w:rsidR="005870C0">
        <w:t>h</w:t>
      </w:r>
      <w:r>
        <w:t>.</w:t>
      </w:r>
      <w:r w:rsidR="00A56D38">
        <w:rPr>
          <w:rStyle w:val="FootnoteReference"/>
        </w:rPr>
        <w:footnoteReference w:id="63"/>
      </w:r>
      <w:r w:rsidR="0031596A">
        <w:t xml:space="preserve">  </w:t>
      </w:r>
      <w:r>
        <w:t>By contrast, approximately one in four Supplier customers (</w:t>
      </w:r>
      <w:r w:rsidRPr="00C56877">
        <w:rPr>
          <w:i/>
        </w:rPr>
        <w:t>i.e.,</w:t>
      </w:r>
      <w:r>
        <w:t xml:space="preserve"> the sum of the two “slices” that correspond with the two highest price brackets) pay more than 13.1 cents per kW</w:t>
      </w:r>
      <w:r w:rsidR="005870C0">
        <w:t>h</w:t>
      </w:r>
      <w:r>
        <w:t>.</w:t>
      </w:r>
    </w:p>
    <w:p w14:paraId="3F69F373" w14:textId="77777777" w:rsidR="00D03E69" w:rsidRDefault="00D03E69" w:rsidP="006F3722">
      <w:pPr>
        <w:keepNext/>
        <w:keepLines/>
        <w:widowControl/>
        <w:autoSpaceDE/>
        <w:autoSpaceDN/>
        <w:adjustRightInd/>
        <w:spacing w:line="480" w:lineRule="auto"/>
        <w:jc w:val="center"/>
        <w:rPr>
          <w:b/>
        </w:rPr>
      </w:pPr>
      <w:r>
        <w:br w:type="page"/>
      </w:r>
      <w:r w:rsidRPr="00D03E69">
        <w:rPr>
          <w:b/>
        </w:rPr>
        <w:t>Figure 1</w:t>
      </w:r>
    </w:p>
    <w:p w14:paraId="5EAD5E90" w14:textId="77777777" w:rsidR="00D03E69" w:rsidRDefault="00D03E69" w:rsidP="006F3722">
      <w:pPr>
        <w:keepNext/>
        <w:keepLines/>
        <w:spacing w:line="480" w:lineRule="auto"/>
        <w:ind w:left="720" w:hanging="720"/>
        <w:jc w:val="center"/>
        <w:rPr>
          <w:b/>
        </w:rPr>
      </w:pPr>
      <w:r>
        <w:rPr>
          <w:b/>
        </w:rPr>
        <w:t>Distribution of Suppliers’ Customers in the CL&amp;P Region by Price</w:t>
      </w:r>
    </w:p>
    <w:p w14:paraId="3C11A7B5" w14:textId="77777777" w:rsidR="000E5E16" w:rsidRDefault="000E5E16" w:rsidP="006F3722">
      <w:pPr>
        <w:keepNext/>
        <w:keepLines/>
        <w:jc w:val="center"/>
      </w:pPr>
      <w:r>
        <w:rPr>
          <w:noProof/>
        </w:rPr>
        <w:drawing>
          <wp:inline distT="0" distB="0" distL="0" distR="0" wp14:anchorId="0C018EA9" wp14:editId="32CAABEF">
            <wp:extent cx="5486400" cy="3365500"/>
            <wp:effectExtent l="0" t="0" r="254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5BAC17" w14:textId="77777777" w:rsidR="00C56877" w:rsidRDefault="00C56877" w:rsidP="006F3722">
      <w:pPr>
        <w:keepNext/>
        <w:keepLines/>
        <w:spacing w:line="480" w:lineRule="auto"/>
        <w:ind w:left="720" w:hanging="720"/>
        <w:jc w:val="center"/>
        <w:rPr>
          <w:b/>
        </w:rPr>
      </w:pPr>
    </w:p>
    <w:p w14:paraId="33E59FF6" w14:textId="77777777" w:rsidR="00D03E69" w:rsidRPr="00EF7F87" w:rsidRDefault="00EF7F87" w:rsidP="00D03E69">
      <w:pPr>
        <w:spacing w:line="480" w:lineRule="auto"/>
        <w:ind w:left="720" w:hanging="720"/>
        <w:rPr>
          <w:b/>
        </w:rPr>
      </w:pPr>
      <w:r>
        <w:rPr>
          <w:b/>
        </w:rPr>
        <w:t>Q:</w:t>
      </w:r>
      <w:r>
        <w:rPr>
          <w:b/>
        </w:rPr>
        <w:tab/>
        <w:t>Did you also prepare a figure that illustrates the quantities of customers paying more than the Standard Offer and those paying less than the Standard Offer for Suppliers’ services in the CL&amp;P region?</w:t>
      </w:r>
    </w:p>
    <w:p w14:paraId="0B365D4A" w14:textId="77777777" w:rsidR="00D03E69" w:rsidRDefault="00EF7F87" w:rsidP="00D03E69">
      <w:pPr>
        <w:spacing w:line="480" w:lineRule="auto"/>
        <w:ind w:left="720" w:hanging="720"/>
      </w:pPr>
      <w:r>
        <w:t>A:</w:t>
      </w:r>
      <w:r>
        <w:tab/>
        <w:t xml:space="preserve">Yes.  Figure 2 below shows that 87% of Suppliers’ customers, or approximately nine out of 10 Suppliers’ customers, </w:t>
      </w:r>
      <w:r>
        <w:rPr>
          <w:i/>
        </w:rPr>
        <w:t>pay more than if they purchased at the Standard Offer.</w:t>
      </w:r>
      <w:r>
        <w:t xml:space="preserve">  The market, as it is presently structured and regulated, is harming the vast majority of customers who choose to purchase service from a Supplier.</w:t>
      </w:r>
    </w:p>
    <w:p w14:paraId="3FA586D9" w14:textId="77777777" w:rsidR="00EF7F87" w:rsidRDefault="00EF7F87" w:rsidP="006F3722">
      <w:pPr>
        <w:keepNext/>
        <w:keepLines/>
        <w:spacing w:line="480" w:lineRule="auto"/>
        <w:ind w:left="720" w:hanging="720"/>
        <w:jc w:val="center"/>
        <w:rPr>
          <w:b/>
        </w:rPr>
      </w:pPr>
      <w:r>
        <w:rPr>
          <w:b/>
        </w:rPr>
        <w:t>Figure 2</w:t>
      </w:r>
    </w:p>
    <w:p w14:paraId="4C32F7B1" w14:textId="77777777" w:rsidR="00EF7F87" w:rsidRDefault="00EF7F87" w:rsidP="006F3722">
      <w:pPr>
        <w:keepNext/>
        <w:keepLines/>
        <w:spacing w:line="480" w:lineRule="auto"/>
        <w:ind w:left="720" w:hanging="720"/>
        <w:jc w:val="center"/>
        <w:rPr>
          <w:b/>
        </w:rPr>
      </w:pPr>
      <w:r>
        <w:rPr>
          <w:b/>
        </w:rPr>
        <w:t>Almost Nine Out of Ten Supplier Customers Pay More than the Standard Offer</w:t>
      </w:r>
    </w:p>
    <w:p w14:paraId="5A55185E" w14:textId="77777777" w:rsidR="00D03E69" w:rsidRDefault="00EF7F87" w:rsidP="006F3722">
      <w:pPr>
        <w:keepNext/>
        <w:keepLines/>
        <w:spacing w:line="480" w:lineRule="auto"/>
        <w:ind w:left="720" w:hanging="720"/>
        <w:jc w:val="center"/>
        <w:rPr>
          <w:b/>
        </w:rPr>
      </w:pPr>
      <w:r>
        <w:rPr>
          <w:b/>
        </w:rPr>
        <w:t>CL&amp;P Territory</w:t>
      </w:r>
    </w:p>
    <w:p w14:paraId="0D94AA8A" w14:textId="77777777" w:rsidR="000E5E16" w:rsidRDefault="000E5E16" w:rsidP="006F3722">
      <w:pPr>
        <w:keepNext/>
        <w:keepLines/>
        <w:jc w:val="center"/>
      </w:pPr>
      <w:r>
        <w:rPr>
          <w:noProof/>
        </w:rPr>
        <w:drawing>
          <wp:inline distT="0" distB="0" distL="0" distR="0" wp14:anchorId="2432AEB1" wp14:editId="47647EFD">
            <wp:extent cx="5486400" cy="4210050"/>
            <wp:effectExtent l="0" t="0" r="25400" b="317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5F2230" w14:textId="77777777" w:rsidR="000E5E16" w:rsidRDefault="000E5E16" w:rsidP="000E5E16">
      <w:pPr>
        <w:jc w:val="center"/>
      </w:pPr>
    </w:p>
    <w:p w14:paraId="2BAF4BCD" w14:textId="77777777" w:rsidR="00611102" w:rsidRDefault="00611102" w:rsidP="00611102">
      <w:pPr>
        <w:spacing w:line="480" w:lineRule="auto"/>
        <w:ind w:left="720" w:hanging="720"/>
        <w:rPr>
          <w:b/>
        </w:rPr>
      </w:pPr>
      <w:r>
        <w:rPr>
          <w:b/>
        </w:rPr>
        <w:t>Q:</w:t>
      </w:r>
      <w:r>
        <w:rPr>
          <w:b/>
        </w:rPr>
        <w:tab/>
        <w:t>What did you find for the UI territory, based on your calculations?</w:t>
      </w:r>
    </w:p>
    <w:p w14:paraId="7EFBD26F" w14:textId="77777777" w:rsidR="00611102" w:rsidRDefault="00611102" w:rsidP="00611102">
      <w:pPr>
        <w:spacing w:line="480" w:lineRule="auto"/>
        <w:ind w:left="720" w:hanging="720"/>
      </w:pPr>
      <w:r>
        <w:t>A:</w:t>
      </w:r>
      <w:r>
        <w:tab/>
      </w:r>
      <w:r w:rsidR="00A005B7">
        <w:t xml:space="preserve"> </w:t>
      </w:r>
      <w:r>
        <w:t xml:space="preserve">A consumer with average usage purchasing </w:t>
      </w:r>
      <w:r w:rsidR="00A005B7">
        <w:t xml:space="preserve">UI’s </w:t>
      </w:r>
      <w:r>
        <w:t>Standard O</w:t>
      </w:r>
      <w:r w:rsidR="00A005B7">
        <w:t xml:space="preserve">ffer </w:t>
      </w:r>
      <w:r>
        <w:t xml:space="preserve">at a </w:t>
      </w:r>
      <w:r w:rsidR="00A005B7">
        <w:t xml:space="preserve">weighted average rate of 0.082355 would </w:t>
      </w:r>
      <w:r w:rsidR="00C90E5B">
        <w:t>have paid</w:t>
      </w:r>
      <w:r w:rsidR="00A005B7">
        <w:t xml:space="preserve"> $61.77 per month</w:t>
      </w:r>
      <w:r>
        <w:t xml:space="preserve">, which is significantly less than </w:t>
      </w:r>
      <w:r w:rsidR="00A005B7">
        <w:t xml:space="preserve">the weighted average </w:t>
      </w:r>
      <w:r>
        <w:t xml:space="preserve">Supplier rate of 0.11112, which yields </w:t>
      </w:r>
      <w:r w:rsidR="00A005B7">
        <w:t xml:space="preserve">a total monthly charge of $83.34.  </w:t>
      </w:r>
      <w:r w:rsidR="002D2FA2">
        <w:t>O</w:t>
      </w:r>
      <w:r w:rsidR="000F5E17">
        <w:t xml:space="preserve">n average, </w:t>
      </w:r>
      <w:r w:rsidR="002D2FA2">
        <w:t>S</w:t>
      </w:r>
      <w:r w:rsidR="00A005B7">
        <w:t>upplier consumer</w:t>
      </w:r>
      <w:r w:rsidR="000F5E17">
        <w:t>s</w:t>
      </w:r>
      <w:r w:rsidR="00A005B7">
        <w:t xml:space="preserve"> </w:t>
      </w:r>
      <w:r w:rsidR="002D2FA2">
        <w:t xml:space="preserve">residing in UI’s territory </w:t>
      </w:r>
      <w:r w:rsidR="00A005B7">
        <w:t xml:space="preserve">paid an additional $21.57 </w:t>
      </w:r>
      <w:r w:rsidR="001B5F47">
        <w:t xml:space="preserve">in the </w:t>
      </w:r>
      <w:r w:rsidR="00A005B7">
        <w:t xml:space="preserve">December 2013/January 2014 </w:t>
      </w:r>
      <w:r w:rsidR="001B5F47">
        <w:t xml:space="preserve">timeframe, </w:t>
      </w:r>
      <w:r w:rsidR="00A005B7">
        <w:t xml:space="preserve">compared </w:t>
      </w:r>
      <w:r w:rsidR="001B5F47">
        <w:t xml:space="preserve">with </w:t>
      </w:r>
      <w:r w:rsidR="00A005B7">
        <w:t>what they would have paid if they were charged UI’s standard rate</w:t>
      </w:r>
      <w:r>
        <w:t xml:space="preserve">.  </w:t>
      </w:r>
    </w:p>
    <w:p w14:paraId="1DC4D9CC" w14:textId="77777777" w:rsidR="002D2FA2" w:rsidRDefault="002D2FA2" w:rsidP="00611102">
      <w:pPr>
        <w:spacing w:line="480" w:lineRule="auto"/>
        <w:ind w:left="720" w:hanging="720"/>
      </w:pPr>
    </w:p>
    <w:p w14:paraId="23E42920" w14:textId="77777777" w:rsidR="002D2FA2" w:rsidRDefault="002D2FA2" w:rsidP="00611102">
      <w:pPr>
        <w:spacing w:line="480" w:lineRule="auto"/>
        <w:ind w:left="720" w:hanging="720"/>
      </w:pPr>
      <w:r>
        <w:tab/>
        <w:t xml:space="preserve">On a monthly basis, consumers in the UI territory who paid a rate of $0.2000 would have spent an additional $88 </w:t>
      </w:r>
      <w:r>
        <w:rPr>
          <w:i/>
        </w:rPr>
        <w:t xml:space="preserve">above </w:t>
      </w:r>
      <w:r>
        <w:t xml:space="preserve">the Standard offer and those who paid a rate of $0.1500 would have paid an additional $51 </w:t>
      </w:r>
      <w:r>
        <w:rPr>
          <w:i/>
        </w:rPr>
        <w:t xml:space="preserve">above </w:t>
      </w:r>
      <w:r>
        <w:t xml:space="preserve">the Standard Rate.  Because of the wide range of rates that prevail, it is important </w:t>
      </w:r>
      <w:r w:rsidR="00456DA6">
        <w:t xml:space="preserve">to consider </w:t>
      </w:r>
      <w:r w:rsidR="00E71159">
        <w:t>the wide range of monetary impacts that individual consumers are experiencing.</w:t>
      </w:r>
    </w:p>
    <w:p w14:paraId="030A6514" w14:textId="77777777" w:rsidR="001B5F47" w:rsidRDefault="001B5F47" w:rsidP="001B5F47">
      <w:pPr>
        <w:spacing w:line="480" w:lineRule="auto"/>
        <w:ind w:left="720" w:hanging="720"/>
        <w:rPr>
          <w:b/>
        </w:rPr>
      </w:pPr>
      <w:r>
        <w:rPr>
          <w:b/>
        </w:rPr>
        <w:t>Q:</w:t>
      </w:r>
      <w:r>
        <w:rPr>
          <w:b/>
        </w:rPr>
        <w:tab/>
        <w:t>Did you prepare a figure that depicts the financial harm that Suppliers’ consumers are experiencing in the UI footprint?</w:t>
      </w:r>
      <w:r w:rsidR="00B923D6">
        <w:rPr>
          <w:b/>
        </w:rPr>
        <w:t xml:space="preserve">  </w:t>
      </w:r>
    </w:p>
    <w:p w14:paraId="40D46970" w14:textId="77777777" w:rsidR="001B5F47" w:rsidRDefault="001B5F47" w:rsidP="001B5F47">
      <w:pPr>
        <w:spacing w:line="480" w:lineRule="auto"/>
        <w:ind w:left="720" w:hanging="720"/>
      </w:pPr>
      <w:r>
        <w:t>A:</w:t>
      </w:r>
      <w:r>
        <w:tab/>
        <w:t xml:space="preserve">Yes. </w:t>
      </w:r>
      <w:r w:rsidR="002743FE">
        <w:t xml:space="preserve"> </w:t>
      </w:r>
      <w:r>
        <w:t>Figure 3 be</w:t>
      </w:r>
      <w:r w:rsidR="003869FC">
        <w:t xml:space="preserve">low shows that 30% of customers residing in the UI footprint </w:t>
      </w:r>
      <w:r>
        <w:t xml:space="preserve">who have chosen Suppliers pay less than UI’s Standard Offer, which means that </w:t>
      </w:r>
      <w:r w:rsidR="00B923D6">
        <w:t xml:space="preserve">a </w:t>
      </w:r>
      <w:r>
        <w:t>significantly</w:t>
      </w:r>
      <w:r w:rsidR="00B923D6">
        <w:t xml:space="preserve"> higher percentage of the </w:t>
      </w:r>
      <w:r>
        <w:t>Supplier-served customers in the UI region are paying rates below the Standard Offer than their counterparts in the CL&amp;P region (</w:t>
      </w:r>
      <w:r w:rsidR="00B923D6">
        <w:t xml:space="preserve">where only </w:t>
      </w:r>
      <w:r>
        <w:t>13% of the Supplier-served customers</w:t>
      </w:r>
      <w:r w:rsidR="00B923D6">
        <w:t xml:space="preserve"> pay less than the Standard Offer</w:t>
      </w:r>
      <w:r>
        <w:t xml:space="preserve">).  </w:t>
      </w:r>
      <w:r w:rsidR="00B923D6">
        <w:t xml:space="preserve">However, </w:t>
      </w:r>
      <w:r>
        <w:t xml:space="preserve">Figure 3 also shows that </w:t>
      </w:r>
      <w:r w:rsidR="002833DC">
        <w:t>30</w:t>
      </w:r>
      <w:r>
        <w:t>% of Supplier customers in the UI regi</w:t>
      </w:r>
      <w:r w:rsidR="00E87ED7">
        <w:t>o</w:t>
      </w:r>
      <w:r>
        <w:t>n (</w:t>
      </w:r>
      <w:r w:rsidRPr="00C56877">
        <w:rPr>
          <w:i/>
        </w:rPr>
        <w:t>i.e.,</w:t>
      </w:r>
      <w:r>
        <w:t xml:space="preserve"> the sum of the t</w:t>
      </w:r>
      <w:r w:rsidR="002833DC">
        <w:t>hree</w:t>
      </w:r>
      <w:r>
        <w:t xml:space="preserve"> “slices” that correspond with the </w:t>
      </w:r>
      <w:r w:rsidR="002833DC">
        <w:t>three</w:t>
      </w:r>
      <w:r>
        <w:t xml:space="preserve"> highest price brackets) </w:t>
      </w:r>
      <w:r w:rsidR="00B923D6">
        <w:t>pay more than 13.1 cents per kWh</w:t>
      </w:r>
      <w:r>
        <w:t xml:space="preserve"> (in comparison with the 26% of Supplier-served customers in the CL&amp;P region).</w:t>
      </w:r>
      <w:r w:rsidR="00343E69">
        <w:t xml:space="preserve">  Finally, no customer pays less </w:t>
      </w:r>
      <w:r w:rsidR="00343E69" w:rsidRPr="00A56D38">
        <w:t xml:space="preserve">than </w:t>
      </w:r>
      <w:r w:rsidR="00343E69">
        <w:t>6.1</w:t>
      </w:r>
      <w:r w:rsidR="00343E69" w:rsidRPr="00A56D38">
        <w:t xml:space="preserve"> cents</w:t>
      </w:r>
      <w:r w:rsidR="00343E69">
        <w:t xml:space="preserve"> per kW</w:t>
      </w:r>
      <w:r w:rsidR="00287372">
        <w:t>h</w:t>
      </w:r>
      <w:r w:rsidR="00011CF4">
        <w:t>.</w:t>
      </w:r>
    </w:p>
    <w:p w14:paraId="2FDDB7DF" w14:textId="77777777" w:rsidR="001B5F47" w:rsidRDefault="001B5F47" w:rsidP="006F3722">
      <w:pPr>
        <w:keepNext/>
        <w:keepLines/>
        <w:spacing w:line="480" w:lineRule="auto"/>
        <w:ind w:left="720" w:hanging="720"/>
        <w:jc w:val="center"/>
        <w:rPr>
          <w:b/>
        </w:rPr>
      </w:pPr>
      <w:r>
        <w:rPr>
          <w:b/>
        </w:rPr>
        <w:t>Figure 3</w:t>
      </w:r>
    </w:p>
    <w:p w14:paraId="67E3A9BF" w14:textId="77777777" w:rsidR="001B5F47" w:rsidRDefault="001B5F47" w:rsidP="006F3722">
      <w:pPr>
        <w:keepNext/>
        <w:keepLines/>
        <w:spacing w:line="480" w:lineRule="auto"/>
        <w:ind w:left="720" w:hanging="720"/>
        <w:jc w:val="center"/>
        <w:rPr>
          <w:b/>
        </w:rPr>
      </w:pPr>
      <w:r>
        <w:rPr>
          <w:b/>
        </w:rPr>
        <w:t>Distribution of Suppliers’ Customers in the UI Region by Price</w:t>
      </w:r>
    </w:p>
    <w:p w14:paraId="23F3E605" w14:textId="77777777" w:rsidR="006F3722" w:rsidRDefault="006F3722" w:rsidP="006F3722">
      <w:pPr>
        <w:keepNext/>
        <w:keepLines/>
        <w:jc w:val="center"/>
      </w:pPr>
      <w:r>
        <w:rPr>
          <w:noProof/>
        </w:rPr>
        <w:drawing>
          <wp:inline distT="0" distB="0" distL="0" distR="0" wp14:anchorId="75687CB5" wp14:editId="448532ED">
            <wp:extent cx="5486400" cy="4729480"/>
            <wp:effectExtent l="0" t="0" r="25400" b="203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CC1B4A" w14:textId="77777777" w:rsidR="006F3722" w:rsidRDefault="006F3722" w:rsidP="001B5F47">
      <w:pPr>
        <w:spacing w:line="480" w:lineRule="auto"/>
        <w:ind w:left="720" w:hanging="720"/>
        <w:rPr>
          <w:b/>
        </w:rPr>
      </w:pPr>
    </w:p>
    <w:p w14:paraId="573FDF0A" w14:textId="77777777" w:rsidR="001B5F47" w:rsidRPr="00EF7F87" w:rsidRDefault="001B5F47" w:rsidP="001B5F47">
      <w:pPr>
        <w:spacing w:line="480" w:lineRule="auto"/>
        <w:ind w:left="720" w:hanging="720"/>
        <w:rPr>
          <w:b/>
        </w:rPr>
      </w:pPr>
      <w:r>
        <w:rPr>
          <w:b/>
        </w:rPr>
        <w:t>Q:</w:t>
      </w:r>
      <w:r>
        <w:rPr>
          <w:b/>
        </w:rPr>
        <w:tab/>
        <w:t xml:space="preserve">Did you also prepare a figure that illustrates the quantities of customers paying more than the Standard Offer and those paying less than the Standard Offer for Suppliers’ services in the </w:t>
      </w:r>
      <w:r w:rsidR="005B68F9">
        <w:rPr>
          <w:b/>
        </w:rPr>
        <w:t>UI</w:t>
      </w:r>
      <w:r>
        <w:rPr>
          <w:b/>
        </w:rPr>
        <w:t xml:space="preserve"> region?</w:t>
      </w:r>
    </w:p>
    <w:p w14:paraId="485C77D2" w14:textId="77777777" w:rsidR="001B5F47" w:rsidRDefault="001B5F47" w:rsidP="001B5F47">
      <w:pPr>
        <w:spacing w:line="480" w:lineRule="auto"/>
        <w:ind w:left="720" w:hanging="720"/>
      </w:pPr>
      <w:r>
        <w:t>A:</w:t>
      </w:r>
      <w:r>
        <w:tab/>
        <w:t xml:space="preserve">Yes.  Figure </w:t>
      </w:r>
      <w:r w:rsidR="005B68F9">
        <w:t>4</w:t>
      </w:r>
      <w:r>
        <w:t xml:space="preserve"> below shows that </w:t>
      </w:r>
      <w:r w:rsidR="005B68F9">
        <w:t>seven</w:t>
      </w:r>
      <w:r>
        <w:t xml:space="preserve"> out of </w:t>
      </w:r>
      <w:r w:rsidR="005B68F9">
        <w:t xml:space="preserve">ten </w:t>
      </w:r>
      <w:r>
        <w:t>Suppliers’ customers</w:t>
      </w:r>
      <w:r w:rsidR="003869FC">
        <w:t xml:space="preserve"> in the UI region</w:t>
      </w:r>
      <w:r>
        <w:t xml:space="preserve"> </w:t>
      </w:r>
      <w:r>
        <w:rPr>
          <w:i/>
        </w:rPr>
        <w:t>pay more than if they purchased at the Standard Offer.</w:t>
      </w:r>
      <w:r>
        <w:t xml:space="preserve">  </w:t>
      </w:r>
      <w:r w:rsidR="005B68F9">
        <w:t>As is the case in the CL&amp;P region, t</w:t>
      </w:r>
      <w:r>
        <w:t>he market, as it is presently structured and regulated, is harming the vast majority of customers who choose to purchase service from a Supplier</w:t>
      </w:r>
      <w:r w:rsidR="005B68F9">
        <w:t xml:space="preserve"> in the UI region</w:t>
      </w:r>
      <w:r>
        <w:t>.</w:t>
      </w:r>
    </w:p>
    <w:p w14:paraId="1E6D906D" w14:textId="77777777" w:rsidR="001B5F47" w:rsidRDefault="005B68F9" w:rsidP="006F3722">
      <w:pPr>
        <w:keepNext/>
        <w:keepLines/>
        <w:spacing w:line="480" w:lineRule="auto"/>
        <w:ind w:left="720" w:hanging="720"/>
        <w:jc w:val="center"/>
        <w:rPr>
          <w:b/>
        </w:rPr>
      </w:pPr>
      <w:r>
        <w:rPr>
          <w:b/>
        </w:rPr>
        <w:t>Figure 4</w:t>
      </w:r>
    </w:p>
    <w:p w14:paraId="6C4A76F8" w14:textId="77777777" w:rsidR="001B5F47" w:rsidRDefault="005B68F9" w:rsidP="006F3722">
      <w:pPr>
        <w:keepNext/>
        <w:keepLines/>
        <w:spacing w:line="480" w:lineRule="auto"/>
        <w:ind w:left="720" w:hanging="720"/>
        <w:jc w:val="center"/>
        <w:rPr>
          <w:b/>
        </w:rPr>
      </w:pPr>
      <w:r>
        <w:rPr>
          <w:b/>
        </w:rPr>
        <w:t>Seven</w:t>
      </w:r>
      <w:r w:rsidR="001B5F47">
        <w:rPr>
          <w:b/>
        </w:rPr>
        <w:t xml:space="preserve"> Out of Ten Supplier Customers Pay More than the Standard Offer</w:t>
      </w:r>
    </w:p>
    <w:p w14:paraId="7FC2EBF8" w14:textId="77777777" w:rsidR="006F3722" w:rsidRDefault="005B68F9" w:rsidP="006F3722">
      <w:pPr>
        <w:keepNext/>
        <w:keepLines/>
        <w:spacing w:line="480" w:lineRule="auto"/>
        <w:ind w:left="720" w:hanging="720"/>
        <w:jc w:val="center"/>
      </w:pPr>
      <w:r>
        <w:rPr>
          <w:b/>
        </w:rPr>
        <w:t>UI</w:t>
      </w:r>
      <w:r w:rsidR="001B5F47">
        <w:rPr>
          <w:b/>
        </w:rPr>
        <w:t xml:space="preserve"> Territory</w:t>
      </w:r>
    </w:p>
    <w:p w14:paraId="73E38E3D" w14:textId="77777777" w:rsidR="006F3722" w:rsidRDefault="006F3722" w:rsidP="006F3722">
      <w:pPr>
        <w:keepNext/>
        <w:keepLines/>
        <w:jc w:val="center"/>
      </w:pPr>
      <w:r>
        <w:rPr>
          <w:noProof/>
        </w:rPr>
        <w:drawing>
          <wp:inline distT="0" distB="0" distL="0" distR="0" wp14:anchorId="44FF7BA6" wp14:editId="18376912">
            <wp:extent cx="5486400" cy="4657090"/>
            <wp:effectExtent l="0" t="0" r="25400"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D4B1D1" w14:textId="77777777" w:rsidR="006F3722" w:rsidRDefault="006F3722" w:rsidP="005B68F9">
      <w:pPr>
        <w:spacing w:line="480" w:lineRule="auto"/>
        <w:ind w:left="720" w:hanging="720"/>
        <w:rPr>
          <w:b/>
        </w:rPr>
      </w:pPr>
    </w:p>
    <w:p w14:paraId="29B6A247" w14:textId="77777777" w:rsidR="005B68F9" w:rsidRDefault="005B68F9" w:rsidP="005B68F9">
      <w:pPr>
        <w:spacing w:line="480" w:lineRule="auto"/>
        <w:ind w:left="720" w:hanging="720"/>
        <w:rPr>
          <w:b/>
        </w:rPr>
      </w:pPr>
      <w:r>
        <w:rPr>
          <w:b/>
        </w:rPr>
        <w:t>Q:</w:t>
      </w:r>
      <w:r>
        <w:rPr>
          <w:b/>
        </w:rPr>
        <w:tab/>
        <w:t>How then do the rates paid by Supplier-served customers in the CL&amp;P region compare with the rates paid by their counterparts in the UI region?</w:t>
      </w:r>
    </w:p>
    <w:p w14:paraId="5E7C414D" w14:textId="77777777" w:rsidR="005B68F9" w:rsidRDefault="005B68F9" w:rsidP="005B68F9">
      <w:pPr>
        <w:spacing w:line="480" w:lineRule="auto"/>
        <w:ind w:left="720" w:hanging="720"/>
      </w:pPr>
      <w:r>
        <w:t>A:</w:t>
      </w:r>
      <w:r>
        <w:tab/>
        <w:t xml:space="preserve">As Table </w:t>
      </w:r>
      <w:r w:rsidR="0055710F">
        <w:t>18</w:t>
      </w:r>
      <w:r>
        <w:t>, below shows, on average, the differential between the “excess” Supplier rates in the CL&amp;P region and the “excess” Supplier rates in the UI region is $2.36 per month.</w:t>
      </w:r>
      <w:r w:rsidR="003869FC">
        <w:t xml:space="preserve">  Because of the wide range of prices in the Supplier-served market and because of consumers’ differing consumption patterns, however, differentials among customers and suppliers varies enormously, with some consumers experiencing substantially greater harm than others.  Based on the information we have been provided in this proceeding, we cannot determine whether vulnerable groups such as </w:t>
      </w:r>
      <w:r w:rsidR="00E54ADF">
        <w:t>Senior</w:t>
      </w:r>
      <w:r w:rsidR="00DD7CBC">
        <w:t>s</w:t>
      </w:r>
      <w:r w:rsidR="003869FC">
        <w:t>, ESL</w:t>
      </w:r>
      <w:r w:rsidR="00DD7CBC">
        <w:t xml:space="preserve"> consumers</w:t>
      </w:r>
      <w:r w:rsidR="003869FC">
        <w:t>, and those with low and fixed incomes are experiencing disproportionate harm.  We recommend that PURA specifically track rates that those customers who are receiving assistance (the cost of which is borne by</w:t>
      </w:r>
      <w:r w:rsidR="007F4EB3">
        <w:t xml:space="preserve"> all consumers) pay for service to ensure that public monies are being prudently expended.</w:t>
      </w:r>
    </w:p>
    <w:p w14:paraId="5FE21A10" w14:textId="77777777" w:rsidR="005B68F9" w:rsidRDefault="005B68F9" w:rsidP="005B68F9">
      <w:pPr>
        <w:spacing w:line="480" w:lineRule="auto"/>
        <w:ind w:left="720" w:hanging="720"/>
        <w:rPr>
          <w:b/>
        </w:rPr>
      </w:pPr>
      <w:r>
        <w:rPr>
          <w:b/>
        </w:rPr>
        <w:t>Q:</w:t>
      </w:r>
      <w:r>
        <w:rPr>
          <w:b/>
        </w:rPr>
        <w:tab/>
        <w:t>Have you examined Suppliers’ distribution of customers across municipalities and relative to the two EDCs’ footprints?</w:t>
      </w:r>
    </w:p>
    <w:p w14:paraId="000EB1A8" w14:textId="77777777" w:rsidR="005B68F9" w:rsidRDefault="00F61027" w:rsidP="0038616A">
      <w:pPr>
        <w:spacing w:line="480" w:lineRule="auto"/>
        <w:ind w:left="720" w:hanging="720"/>
      </w:pPr>
      <w:r>
        <w:t>A:</w:t>
      </w:r>
      <w:r>
        <w:tab/>
        <w:t xml:space="preserve">No. </w:t>
      </w:r>
      <w:r w:rsidR="00D0403E">
        <w:t xml:space="preserve"> </w:t>
      </w:r>
      <w:r>
        <w:t xml:space="preserve">We sought this </w:t>
      </w:r>
      <w:r w:rsidR="005B68F9">
        <w:t>information from the EDCs, but they were not able to provide the requested information.  In OCC-51, we sought this information from Suppliers, but given the volume of information</w:t>
      </w:r>
      <w:r w:rsidR="00120022">
        <w:t xml:space="preserve"> and the late date at which it was provided by many of the Suppliers</w:t>
      </w:r>
      <w:r w:rsidR="005B68F9">
        <w:t xml:space="preserve">, we have not yet comprehensively examined this data. </w:t>
      </w:r>
      <w:r w:rsidR="00120022">
        <w:t xml:space="preserve"> Also, from an initial examination, we note that some suppliers have not provided the information requested.  </w:t>
      </w:r>
    </w:p>
    <w:p w14:paraId="4EC22557" w14:textId="77777777" w:rsidR="005B68F9" w:rsidRDefault="005B68F9" w:rsidP="005B68F9">
      <w:pPr>
        <w:ind w:left="1800"/>
      </w:pPr>
    </w:p>
    <w:p w14:paraId="091F5400" w14:textId="77777777" w:rsidR="005B68F9" w:rsidRDefault="005B68F9" w:rsidP="005B68F9">
      <w:pPr>
        <w:spacing w:after="240" w:line="480" w:lineRule="auto"/>
        <w:ind w:left="720"/>
      </w:pPr>
      <w:r>
        <w:t>For example, instead of the “residential counts” by zip code and municipality, HIKO provided the name of each residential customer, plus the customer</w:t>
      </w:r>
      <w:r w:rsidR="00120022">
        <w:t>’</w:t>
      </w:r>
      <w:r>
        <w:t xml:space="preserve">s zip code and municipality, on 94 separate pages. </w:t>
      </w:r>
    </w:p>
    <w:p w14:paraId="11E63980" w14:textId="77777777" w:rsidR="00611102" w:rsidRPr="00EF7F87" w:rsidRDefault="00AE3890" w:rsidP="00611102">
      <w:pPr>
        <w:spacing w:line="480" w:lineRule="auto"/>
        <w:ind w:left="720" w:hanging="720"/>
        <w:rPr>
          <w:b/>
        </w:rPr>
      </w:pPr>
      <w:r>
        <w:rPr>
          <w:b/>
        </w:rPr>
        <w:t>Q:</w:t>
      </w:r>
      <w:r>
        <w:rPr>
          <w:b/>
        </w:rPr>
        <w:tab/>
        <w:t xml:space="preserve">Please explain Table </w:t>
      </w:r>
      <w:r w:rsidR="0055710F">
        <w:rPr>
          <w:b/>
        </w:rPr>
        <w:t>18</w:t>
      </w:r>
      <w:r w:rsidR="00EF7F87">
        <w:rPr>
          <w:b/>
        </w:rPr>
        <w:t xml:space="preserve"> below.</w:t>
      </w:r>
    </w:p>
    <w:p w14:paraId="4838B180" w14:textId="77777777" w:rsidR="00A005B7" w:rsidRDefault="00EF7F87" w:rsidP="00EF7F87">
      <w:pPr>
        <w:spacing w:line="480" w:lineRule="auto"/>
        <w:ind w:left="720" w:hanging="720"/>
      </w:pPr>
      <w:r>
        <w:t>A:</w:t>
      </w:r>
      <w:r>
        <w:tab/>
      </w:r>
      <w:r w:rsidR="00A005B7">
        <w:t xml:space="preserve">Table </w:t>
      </w:r>
      <w:r w:rsidR="0055710F">
        <w:t>18</w:t>
      </w:r>
      <w:r w:rsidR="00A005B7">
        <w:t xml:space="preserve"> </w:t>
      </w:r>
      <w:r w:rsidR="00611102">
        <w:t>summarizes</w:t>
      </w:r>
      <w:r w:rsidR="00A005B7">
        <w:t xml:space="preserve"> th</w:t>
      </w:r>
      <w:r w:rsidR="00611102">
        <w:t>e</w:t>
      </w:r>
      <w:r w:rsidR="00A005B7">
        <w:t xml:space="preserve"> differences</w:t>
      </w:r>
      <w:r w:rsidR="00611102">
        <w:t xml:space="preserve"> based on the weighted average rates and the average residential electricity usage in CL&amp;P’s and UI’s territories</w:t>
      </w:r>
      <w:r w:rsidR="00A005B7">
        <w:t>.</w:t>
      </w:r>
      <w:r w:rsidR="00597E6D">
        <w:t xml:space="preserve">  </w:t>
      </w:r>
    </w:p>
    <w:p w14:paraId="41FE58B6" w14:textId="77777777" w:rsidR="00A005B7" w:rsidRDefault="00A005B7" w:rsidP="00CC6305">
      <w:pPr>
        <w:keepNext/>
        <w:keepLines/>
        <w:ind w:left="720" w:hanging="720"/>
        <w:jc w:val="center"/>
        <w:rPr>
          <w:b/>
        </w:rPr>
      </w:pPr>
      <w:r>
        <w:rPr>
          <w:b/>
        </w:rPr>
        <w:t xml:space="preserve">Table </w:t>
      </w:r>
      <w:r w:rsidR="0055710F">
        <w:rPr>
          <w:b/>
        </w:rPr>
        <w:t>18</w:t>
      </w:r>
    </w:p>
    <w:p w14:paraId="559E1675" w14:textId="77777777" w:rsidR="00A005B7" w:rsidRDefault="00A005B7" w:rsidP="00CC6305">
      <w:pPr>
        <w:keepNext/>
        <w:keepLines/>
        <w:ind w:left="720" w:hanging="720"/>
        <w:jc w:val="center"/>
        <w:rPr>
          <w:b/>
        </w:rPr>
      </w:pPr>
      <w:r>
        <w:rPr>
          <w:b/>
        </w:rPr>
        <w:t>Average Cost Difference to Consumers Who Elect Alternative Suppliers</w:t>
      </w:r>
    </w:p>
    <w:p w14:paraId="2CD06644" w14:textId="77777777" w:rsidR="00CC6305" w:rsidRDefault="00CC6305" w:rsidP="00CC6305">
      <w:pPr>
        <w:keepNext/>
        <w:keepLines/>
        <w:ind w:left="720" w:hanging="720"/>
        <w:jc w:val="center"/>
        <w:rPr>
          <w:b/>
        </w:rPr>
      </w:pPr>
    </w:p>
    <w:p w14:paraId="51EFF76C" w14:textId="77777777" w:rsidR="00A10500" w:rsidRPr="00560E29" w:rsidRDefault="00A10500" w:rsidP="00A005B7">
      <w:pPr>
        <w:keepNext/>
        <w:keepLines/>
        <w:ind w:left="720" w:hanging="720"/>
      </w:pPr>
    </w:p>
    <w:tbl>
      <w:tblPr>
        <w:tblW w:w="8152" w:type="dxa"/>
        <w:jc w:val="center"/>
        <w:tblLook w:val="04A0" w:firstRow="1" w:lastRow="0" w:firstColumn="1" w:lastColumn="0" w:noHBand="0" w:noVBand="1"/>
      </w:tblPr>
      <w:tblGrid>
        <w:gridCol w:w="276"/>
        <w:gridCol w:w="4320"/>
        <w:gridCol w:w="1300"/>
        <w:gridCol w:w="1980"/>
        <w:gridCol w:w="276"/>
      </w:tblGrid>
      <w:tr w:rsidR="00A005B7" w:rsidRPr="00A53C66" w14:paraId="45E5E9C1" w14:textId="77777777" w:rsidTr="00A10500">
        <w:trPr>
          <w:trHeight w:val="500"/>
          <w:jc w:val="center"/>
        </w:trPr>
        <w:tc>
          <w:tcPr>
            <w:tcW w:w="276" w:type="dxa"/>
            <w:tcBorders>
              <w:top w:val="single" w:sz="8" w:space="0" w:color="auto"/>
              <w:left w:val="single" w:sz="8" w:space="0" w:color="auto"/>
              <w:bottom w:val="single" w:sz="8" w:space="0" w:color="auto"/>
              <w:right w:val="nil"/>
            </w:tcBorders>
            <w:shd w:val="clear" w:color="auto" w:fill="auto"/>
            <w:noWrap/>
            <w:vAlign w:val="bottom"/>
            <w:hideMark/>
          </w:tcPr>
          <w:p w14:paraId="7DF3D754"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single" w:sz="8" w:space="0" w:color="auto"/>
              <w:left w:val="nil"/>
              <w:bottom w:val="single" w:sz="8" w:space="0" w:color="auto"/>
              <w:right w:val="nil"/>
            </w:tcBorders>
            <w:shd w:val="clear" w:color="auto" w:fill="auto"/>
            <w:noWrap/>
            <w:vAlign w:val="bottom"/>
            <w:hideMark/>
          </w:tcPr>
          <w:p w14:paraId="0E989D57"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1300" w:type="dxa"/>
            <w:tcBorders>
              <w:top w:val="single" w:sz="8" w:space="0" w:color="auto"/>
              <w:left w:val="nil"/>
              <w:bottom w:val="single" w:sz="8" w:space="0" w:color="auto"/>
              <w:right w:val="nil"/>
            </w:tcBorders>
            <w:shd w:val="clear" w:color="auto" w:fill="auto"/>
            <w:noWrap/>
            <w:vAlign w:val="center"/>
            <w:hideMark/>
          </w:tcPr>
          <w:p w14:paraId="0FD8D4C5" w14:textId="77777777" w:rsidR="00A005B7" w:rsidRPr="00A53C66" w:rsidRDefault="00A005B7" w:rsidP="000B616F">
            <w:pPr>
              <w:keepNext/>
              <w:keepLines/>
              <w:widowControl/>
              <w:autoSpaceDE/>
              <w:autoSpaceDN/>
              <w:adjustRightInd/>
              <w:jc w:val="center"/>
              <w:rPr>
                <w:b/>
                <w:bCs/>
                <w:color w:val="000000"/>
              </w:rPr>
            </w:pPr>
            <w:r w:rsidRPr="00A53C66">
              <w:rPr>
                <w:b/>
                <w:bCs/>
                <w:color w:val="000000"/>
              </w:rPr>
              <w:t>Per kWh</w:t>
            </w:r>
          </w:p>
        </w:tc>
        <w:tc>
          <w:tcPr>
            <w:tcW w:w="1980" w:type="dxa"/>
            <w:tcBorders>
              <w:top w:val="single" w:sz="8" w:space="0" w:color="auto"/>
              <w:left w:val="nil"/>
              <w:bottom w:val="single" w:sz="8" w:space="0" w:color="auto"/>
              <w:right w:val="nil"/>
            </w:tcBorders>
            <w:shd w:val="clear" w:color="auto" w:fill="auto"/>
            <w:noWrap/>
            <w:vAlign w:val="center"/>
            <w:hideMark/>
          </w:tcPr>
          <w:p w14:paraId="0C674BF5" w14:textId="77777777" w:rsidR="00A005B7" w:rsidRPr="00A53C66" w:rsidRDefault="00A005B7" w:rsidP="000B616F">
            <w:pPr>
              <w:keepNext/>
              <w:keepLines/>
              <w:widowControl/>
              <w:autoSpaceDE/>
              <w:autoSpaceDN/>
              <w:adjustRightInd/>
              <w:jc w:val="center"/>
              <w:rPr>
                <w:b/>
                <w:bCs/>
                <w:color w:val="000000"/>
              </w:rPr>
            </w:pPr>
            <w:r w:rsidRPr="00A53C66">
              <w:rPr>
                <w:b/>
                <w:bCs/>
                <w:color w:val="000000"/>
              </w:rPr>
              <w:t>Monthly Usage</w:t>
            </w:r>
          </w:p>
        </w:tc>
        <w:tc>
          <w:tcPr>
            <w:tcW w:w="276" w:type="dxa"/>
            <w:tcBorders>
              <w:top w:val="single" w:sz="8" w:space="0" w:color="auto"/>
              <w:left w:val="nil"/>
              <w:bottom w:val="single" w:sz="8" w:space="0" w:color="auto"/>
              <w:right w:val="single" w:sz="8" w:space="0" w:color="auto"/>
            </w:tcBorders>
            <w:shd w:val="clear" w:color="auto" w:fill="auto"/>
            <w:noWrap/>
            <w:vAlign w:val="bottom"/>
            <w:hideMark/>
          </w:tcPr>
          <w:p w14:paraId="71D9A6EE"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5483122F"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20455D2B"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2013FC1C" w14:textId="77777777" w:rsidR="00A005B7" w:rsidRPr="00A53C66" w:rsidRDefault="00A005B7" w:rsidP="000B616F">
            <w:pPr>
              <w:keepNext/>
              <w:keepLines/>
              <w:widowControl/>
              <w:autoSpaceDE/>
              <w:autoSpaceDN/>
              <w:adjustRightInd/>
              <w:rPr>
                <w:color w:val="000000"/>
              </w:rPr>
            </w:pPr>
            <w:r w:rsidRPr="00A53C66">
              <w:rPr>
                <w:color w:val="000000"/>
              </w:rPr>
              <w:t>CL&amp;P Standard Offer</w:t>
            </w:r>
          </w:p>
        </w:tc>
        <w:tc>
          <w:tcPr>
            <w:tcW w:w="1300" w:type="dxa"/>
            <w:tcBorders>
              <w:top w:val="nil"/>
              <w:left w:val="nil"/>
              <w:bottom w:val="nil"/>
              <w:right w:val="nil"/>
            </w:tcBorders>
            <w:shd w:val="clear" w:color="auto" w:fill="auto"/>
            <w:noWrap/>
            <w:vAlign w:val="bottom"/>
            <w:hideMark/>
          </w:tcPr>
          <w:p w14:paraId="39BB8E92" w14:textId="77777777" w:rsidR="00A005B7" w:rsidRPr="00A53C66" w:rsidRDefault="00A005B7" w:rsidP="000B616F">
            <w:pPr>
              <w:keepNext/>
              <w:keepLines/>
              <w:widowControl/>
              <w:autoSpaceDE/>
              <w:autoSpaceDN/>
              <w:adjustRightInd/>
              <w:jc w:val="right"/>
              <w:rPr>
                <w:color w:val="000000"/>
              </w:rPr>
            </w:pPr>
            <w:r w:rsidRPr="00A53C66">
              <w:rPr>
                <w:color w:val="000000"/>
              </w:rPr>
              <w:t>0.07573</w:t>
            </w:r>
          </w:p>
        </w:tc>
        <w:tc>
          <w:tcPr>
            <w:tcW w:w="1980" w:type="dxa"/>
            <w:tcBorders>
              <w:top w:val="nil"/>
              <w:left w:val="nil"/>
              <w:bottom w:val="nil"/>
              <w:right w:val="nil"/>
            </w:tcBorders>
            <w:shd w:val="clear" w:color="auto" w:fill="auto"/>
            <w:noWrap/>
            <w:vAlign w:val="bottom"/>
            <w:hideMark/>
          </w:tcPr>
          <w:p w14:paraId="6B594D0E" w14:textId="77777777" w:rsidR="00A005B7" w:rsidRPr="00A53C66" w:rsidRDefault="00A005B7" w:rsidP="000B616F">
            <w:pPr>
              <w:keepNext/>
              <w:keepLines/>
              <w:widowControl/>
              <w:autoSpaceDE/>
              <w:autoSpaceDN/>
              <w:adjustRightInd/>
              <w:ind w:firstLine="960"/>
              <w:rPr>
                <w:color w:val="000000"/>
              </w:rPr>
            </w:pPr>
            <w:r w:rsidRPr="00A53C66">
              <w:rPr>
                <w:color w:val="000000"/>
              </w:rPr>
              <w:t>$56.80</w:t>
            </w:r>
          </w:p>
        </w:tc>
        <w:tc>
          <w:tcPr>
            <w:tcW w:w="276" w:type="dxa"/>
            <w:tcBorders>
              <w:top w:val="nil"/>
              <w:left w:val="nil"/>
              <w:bottom w:val="nil"/>
              <w:right w:val="single" w:sz="8" w:space="0" w:color="auto"/>
            </w:tcBorders>
            <w:shd w:val="clear" w:color="auto" w:fill="auto"/>
            <w:noWrap/>
            <w:vAlign w:val="bottom"/>
            <w:hideMark/>
          </w:tcPr>
          <w:p w14:paraId="5BEE0001"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4B407265"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435D7D86"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74A55F75" w14:textId="77777777" w:rsidR="00A005B7" w:rsidRPr="00A53C66" w:rsidRDefault="00A005B7" w:rsidP="000B616F">
            <w:pPr>
              <w:keepNext/>
              <w:keepLines/>
              <w:widowControl/>
              <w:autoSpaceDE/>
              <w:autoSpaceDN/>
              <w:adjustRightInd/>
              <w:rPr>
                <w:color w:val="000000"/>
              </w:rPr>
            </w:pPr>
            <w:r>
              <w:rPr>
                <w:color w:val="000000"/>
              </w:rPr>
              <w:t>CL&amp;P Supplier</w:t>
            </w:r>
            <w:r w:rsidRPr="00A53C66">
              <w:rPr>
                <w:color w:val="000000"/>
              </w:rPr>
              <w:t xml:space="preserve"> Weighted Average</w:t>
            </w:r>
          </w:p>
        </w:tc>
        <w:tc>
          <w:tcPr>
            <w:tcW w:w="1300" w:type="dxa"/>
            <w:tcBorders>
              <w:top w:val="nil"/>
              <w:left w:val="nil"/>
              <w:bottom w:val="nil"/>
              <w:right w:val="nil"/>
            </w:tcBorders>
            <w:shd w:val="clear" w:color="auto" w:fill="auto"/>
            <w:noWrap/>
            <w:vAlign w:val="bottom"/>
            <w:hideMark/>
          </w:tcPr>
          <w:p w14:paraId="074C0D49" w14:textId="77777777" w:rsidR="00A005B7" w:rsidRPr="00A53C66" w:rsidRDefault="00A005B7" w:rsidP="000B616F">
            <w:pPr>
              <w:keepNext/>
              <w:keepLines/>
              <w:widowControl/>
              <w:autoSpaceDE/>
              <w:autoSpaceDN/>
              <w:adjustRightInd/>
              <w:jc w:val="right"/>
              <w:rPr>
                <w:color w:val="000000"/>
              </w:rPr>
            </w:pPr>
            <w:r w:rsidRPr="00A53C66">
              <w:rPr>
                <w:color w:val="000000"/>
              </w:rPr>
              <w:t>0.10763</w:t>
            </w:r>
          </w:p>
        </w:tc>
        <w:tc>
          <w:tcPr>
            <w:tcW w:w="1980" w:type="dxa"/>
            <w:tcBorders>
              <w:top w:val="nil"/>
              <w:left w:val="nil"/>
              <w:bottom w:val="nil"/>
              <w:right w:val="nil"/>
            </w:tcBorders>
            <w:shd w:val="clear" w:color="auto" w:fill="auto"/>
            <w:noWrap/>
            <w:vAlign w:val="bottom"/>
            <w:hideMark/>
          </w:tcPr>
          <w:p w14:paraId="0BA64DB7" w14:textId="77777777" w:rsidR="00A005B7" w:rsidRPr="00A53C66" w:rsidRDefault="00A005B7" w:rsidP="000B616F">
            <w:pPr>
              <w:keepNext/>
              <w:keepLines/>
              <w:widowControl/>
              <w:autoSpaceDE/>
              <w:autoSpaceDN/>
              <w:adjustRightInd/>
              <w:ind w:firstLine="960"/>
              <w:rPr>
                <w:color w:val="000000"/>
              </w:rPr>
            </w:pPr>
            <w:r w:rsidRPr="00A53C66">
              <w:rPr>
                <w:color w:val="000000"/>
              </w:rPr>
              <w:t>$80.72</w:t>
            </w:r>
          </w:p>
        </w:tc>
        <w:tc>
          <w:tcPr>
            <w:tcW w:w="276" w:type="dxa"/>
            <w:tcBorders>
              <w:top w:val="nil"/>
              <w:left w:val="nil"/>
              <w:bottom w:val="nil"/>
              <w:right w:val="single" w:sz="8" w:space="0" w:color="auto"/>
            </w:tcBorders>
            <w:shd w:val="clear" w:color="auto" w:fill="auto"/>
            <w:noWrap/>
            <w:vAlign w:val="bottom"/>
            <w:hideMark/>
          </w:tcPr>
          <w:p w14:paraId="06000EB2"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2A334679"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02715B38"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51C5349B" w14:textId="77777777" w:rsidR="00A005B7" w:rsidRPr="00A53C66" w:rsidRDefault="00A005B7" w:rsidP="000B616F">
            <w:pPr>
              <w:keepNext/>
              <w:keepLines/>
              <w:widowControl/>
              <w:autoSpaceDE/>
              <w:autoSpaceDN/>
              <w:adjustRightInd/>
              <w:rPr>
                <w:color w:val="000000"/>
              </w:rPr>
            </w:pPr>
            <w:r w:rsidRPr="00A53C66">
              <w:rPr>
                <w:color w:val="000000"/>
              </w:rPr>
              <w:t>Percent Difference</w:t>
            </w:r>
          </w:p>
        </w:tc>
        <w:tc>
          <w:tcPr>
            <w:tcW w:w="1300" w:type="dxa"/>
            <w:tcBorders>
              <w:top w:val="nil"/>
              <w:left w:val="nil"/>
              <w:bottom w:val="nil"/>
              <w:right w:val="nil"/>
            </w:tcBorders>
            <w:shd w:val="clear" w:color="auto" w:fill="auto"/>
            <w:noWrap/>
            <w:vAlign w:val="bottom"/>
            <w:hideMark/>
          </w:tcPr>
          <w:p w14:paraId="1580002C" w14:textId="77777777" w:rsidR="00A005B7" w:rsidRPr="00A53C66" w:rsidRDefault="00A005B7" w:rsidP="000B616F">
            <w:pPr>
              <w:keepNext/>
              <w:keepLines/>
              <w:widowControl/>
              <w:autoSpaceDE/>
              <w:autoSpaceDN/>
              <w:adjustRightInd/>
              <w:jc w:val="right"/>
              <w:rPr>
                <w:color w:val="000000"/>
              </w:rPr>
            </w:pPr>
            <w:r w:rsidRPr="00A53C66">
              <w:rPr>
                <w:color w:val="000000"/>
              </w:rPr>
              <w:t>42%</w:t>
            </w:r>
          </w:p>
        </w:tc>
        <w:tc>
          <w:tcPr>
            <w:tcW w:w="1980" w:type="dxa"/>
            <w:tcBorders>
              <w:top w:val="nil"/>
              <w:left w:val="nil"/>
              <w:bottom w:val="nil"/>
              <w:right w:val="nil"/>
            </w:tcBorders>
            <w:shd w:val="clear" w:color="auto" w:fill="auto"/>
            <w:noWrap/>
            <w:vAlign w:val="bottom"/>
            <w:hideMark/>
          </w:tcPr>
          <w:p w14:paraId="6A9344A4" w14:textId="77777777" w:rsidR="00A005B7" w:rsidRPr="00A53C66" w:rsidRDefault="00A005B7" w:rsidP="000B616F">
            <w:pPr>
              <w:keepNext/>
              <w:keepLines/>
              <w:widowControl/>
              <w:autoSpaceDE/>
              <w:autoSpaceDN/>
              <w:adjustRightInd/>
              <w:ind w:firstLine="960"/>
              <w:rPr>
                <w:color w:val="000000"/>
              </w:rPr>
            </w:pPr>
            <w:r w:rsidRPr="00A53C66">
              <w:rPr>
                <w:color w:val="000000"/>
              </w:rPr>
              <w:t>42%</w:t>
            </w:r>
          </w:p>
        </w:tc>
        <w:tc>
          <w:tcPr>
            <w:tcW w:w="276" w:type="dxa"/>
            <w:tcBorders>
              <w:top w:val="nil"/>
              <w:left w:val="nil"/>
              <w:bottom w:val="nil"/>
              <w:right w:val="single" w:sz="8" w:space="0" w:color="auto"/>
            </w:tcBorders>
            <w:shd w:val="clear" w:color="auto" w:fill="auto"/>
            <w:noWrap/>
            <w:vAlign w:val="bottom"/>
            <w:hideMark/>
          </w:tcPr>
          <w:p w14:paraId="2EBD2B4F"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19591A09"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0C236275"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4484D575" w14:textId="77777777" w:rsidR="00A005B7" w:rsidRPr="00A53C66" w:rsidRDefault="00A005B7" w:rsidP="000B616F">
            <w:pPr>
              <w:keepNext/>
              <w:keepLines/>
              <w:widowControl/>
              <w:autoSpaceDE/>
              <w:autoSpaceDN/>
              <w:adjustRightInd/>
              <w:rPr>
                <w:color w:val="000000"/>
              </w:rPr>
            </w:pPr>
            <w:r>
              <w:rPr>
                <w:color w:val="000000"/>
              </w:rPr>
              <w:t xml:space="preserve">Monthly </w:t>
            </w:r>
            <w:r w:rsidRPr="00A53C66">
              <w:rPr>
                <w:color w:val="000000"/>
              </w:rPr>
              <w:t>Dollar Difference</w:t>
            </w:r>
          </w:p>
        </w:tc>
        <w:tc>
          <w:tcPr>
            <w:tcW w:w="1300" w:type="dxa"/>
            <w:tcBorders>
              <w:top w:val="nil"/>
              <w:left w:val="nil"/>
              <w:bottom w:val="nil"/>
              <w:right w:val="nil"/>
            </w:tcBorders>
            <w:shd w:val="clear" w:color="auto" w:fill="auto"/>
            <w:noWrap/>
            <w:vAlign w:val="bottom"/>
            <w:hideMark/>
          </w:tcPr>
          <w:p w14:paraId="36FDB0C3" w14:textId="77777777" w:rsidR="00A005B7" w:rsidRPr="00A53C66" w:rsidRDefault="00A005B7" w:rsidP="000B616F">
            <w:pPr>
              <w:keepNext/>
              <w:keepLines/>
              <w:widowControl/>
              <w:autoSpaceDE/>
              <w:autoSpaceDN/>
              <w:adjustRightInd/>
              <w:rPr>
                <w:color w:val="000000"/>
              </w:rPr>
            </w:pPr>
          </w:p>
        </w:tc>
        <w:tc>
          <w:tcPr>
            <w:tcW w:w="1980" w:type="dxa"/>
            <w:tcBorders>
              <w:top w:val="nil"/>
              <w:left w:val="nil"/>
              <w:bottom w:val="nil"/>
              <w:right w:val="nil"/>
            </w:tcBorders>
            <w:shd w:val="clear" w:color="auto" w:fill="auto"/>
            <w:noWrap/>
            <w:vAlign w:val="bottom"/>
            <w:hideMark/>
          </w:tcPr>
          <w:p w14:paraId="3D72F8B7" w14:textId="77777777" w:rsidR="00A005B7" w:rsidRPr="00A53C66" w:rsidRDefault="00A005B7" w:rsidP="000B616F">
            <w:pPr>
              <w:keepNext/>
              <w:keepLines/>
              <w:widowControl/>
              <w:autoSpaceDE/>
              <w:autoSpaceDN/>
              <w:adjustRightInd/>
              <w:ind w:firstLine="960"/>
              <w:rPr>
                <w:color w:val="000000"/>
              </w:rPr>
            </w:pPr>
            <w:r w:rsidRPr="00A53C66">
              <w:rPr>
                <w:color w:val="000000"/>
              </w:rPr>
              <w:t>$23.93</w:t>
            </w:r>
          </w:p>
        </w:tc>
        <w:tc>
          <w:tcPr>
            <w:tcW w:w="276" w:type="dxa"/>
            <w:tcBorders>
              <w:top w:val="nil"/>
              <w:left w:val="nil"/>
              <w:bottom w:val="nil"/>
              <w:right w:val="single" w:sz="8" w:space="0" w:color="auto"/>
            </w:tcBorders>
            <w:shd w:val="clear" w:color="auto" w:fill="auto"/>
            <w:noWrap/>
            <w:vAlign w:val="bottom"/>
            <w:hideMark/>
          </w:tcPr>
          <w:p w14:paraId="7EBC5014"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75DCE0BD"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0A488E09"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1C7D9CAE" w14:textId="77777777" w:rsidR="00A005B7" w:rsidRPr="00A53C66" w:rsidRDefault="00A005B7" w:rsidP="000B616F">
            <w:pPr>
              <w:keepNext/>
              <w:keepLines/>
              <w:widowControl/>
              <w:autoSpaceDE/>
              <w:autoSpaceDN/>
              <w:adjustRightInd/>
              <w:rPr>
                <w:color w:val="000000"/>
              </w:rPr>
            </w:pPr>
          </w:p>
        </w:tc>
        <w:tc>
          <w:tcPr>
            <w:tcW w:w="1300" w:type="dxa"/>
            <w:tcBorders>
              <w:top w:val="nil"/>
              <w:left w:val="nil"/>
              <w:bottom w:val="nil"/>
              <w:right w:val="nil"/>
            </w:tcBorders>
            <w:shd w:val="clear" w:color="auto" w:fill="auto"/>
            <w:noWrap/>
            <w:vAlign w:val="bottom"/>
            <w:hideMark/>
          </w:tcPr>
          <w:p w14:paraId="19F07589" w14:textId="77777777" w:rsidR="00A005B7" w:rsidRPr="00A53C66" w:rsidRDefault="00A005B7" w:rsidP="000B616F">
            <w:pPr>
              <w:keepNext/>
              <w:keepLines/>
              <w:widowControl/>
              <w:autoSpaceDE/>
              <w:autoSpaceDN/>
              <w:adjustRightInd/>
              <w:rPr>
                <w:color w:val="000000"/>
              </w:rPr>
            </w:pPr>
          </w:p>
        </w:tc>
        <w:tc>
          <w:tcPr>
            <w:tcW w:w="1980" w:type="dxa"/>
            <w:tcBorders>
              <w:top w:val="nil"/>
              <w:left w:val="nil"/>
              <w:bottom w:val="nil"/>
              <w:right w:val="nil"/>
            </w:tcBorders>
            <w:shd w:val="clear" w:color="auto" w:fill="auto"/>
            <w:noWrap/>
            <w:vAlign w:val="bottom"/>
            <w:hideMark/>
          </w:tcPr>
          <w:p w14:paraId="38D9D6B2" w14:textId="77777777" w:rsidR="00A005B7" w:rsidRPr="00A53C66" w:rsidRDefault="00A005B7" w:rsidP="000B616F">
            <w:pPr>
              <w:keepNext/>
              <w:keepLines/>
              <w:widowControl/>
              <w:autoSpaceDE/>
              <w:autoSpaceDN/>
              <w:adjustRightInd/>
              <w:ind w:firstLine="960"/>
              <w:rPr>
                <w:color w:val="000000"/>
              </w:rPr>
            </w:pPr>
          </w:p>
        </w:tc>
        <w:tc>
          <w:tcPr>
            <w:tcW w:w="276" w:type="dxa"/>
            <w:tcBorders>
              <w:top w:val="nil"/>
              <w:left w:val="nil"/>
              <w:bottom w:val="nil"/>
              <w:right w:val="single" w:sz="8" w:space="0" w:color="auto"/>
            </w:tcBorders>
            <w:shd w:val="clear" w:color="auto" w:fill="auto"/>
            <w:noWrap/>
            <w:vAlign w:val="bottom"/>
            <w:hideMark/>
          </w:tcPr>
          <w:p w14:paraId="180E40E9"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1770060D"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35A6B868"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57FD5076" w14:textId="77777777" w:rsidR="00A005B7" w:rsidRPr="00A53C66" w:rsidRDefault="00A005B7" w:rsidP="000B616F">
            <w:pPr>
              <w:keepNext/>
              <w:keepLines/>
              <w:widowControl/>
              <w:autoSpaceDE/>
              <w:autoSpaceDN/>
              <w:adjustRightInd/>
              <w:rPr>
                <w:color w:val="000000"/>
              </w:rPr>
            </w:pPr>
            <w:r w:rsidRPr="00A53C66">
              <w:rPr>
                <w:color w:val="000000"/>
              </w:rPr>
              <w:t>UI Weighted Average</w:t>
            </w:r>
          </w:p>
        </w:tc>
        <w:tc>
          <w:tcPr>
            <w:tcW w:w="1300" w:type="dxa"/>
            <w:tcBorders>
              <w:top w:val="nil"/>
              <w:left w:val="nil"/>
              <w:bottom w:val="nil"/>
              <w:right w:val="nil"/>
            </w:tcBorders>
            <w:shd w:val="clear" w:color="auto" w:fill="auto"/>
            <w:noWrap/>
            <w:vAlign w:val="bottom"/>
            <w:hideMark/>
          </w:tcPr>
          <w:p w14:paraId="2C04A12D" w14:textId="77777777" w:rsidR="00A005B7" w:rsidRPr="00A53C66" w:rsidRDefault="00A005B7" w:rsidP="000B616F">
            <w:pPr>
              <w:keepNext/>
              <w:keepLines/>
              <w:widowControl/>
              <w:autoSpaceDE/>
              <w:autoSpaceDN/>
              <w:adjustRightInd/>
              <w:jc w:val="right"/>
              <w:rPr>
                <w:color w:val="000000"/>
              </w:rPr>
            </w:pPr>
            <w:r w:rsidRPr="00A53C66">
              <w:rPr>
                <w:color w:val="000000"/>
              </w:rPr>
              <w:t>0.082355</w:t>
            </w:r>
          </w:p>
        </w:tc>
        <w:tc>
          <w:tcPr>
            <w:tcW w:w="1980" w:type="dxa"/>
            <w:tcBorders>
              <w:top w:val="nil"/>
              <w:left w:val="nil"/>
              <w:bottom w:val="nil"/>
              <w:right w:val="nil"/>
            </w:tcBorders>
            <w:shd w:val="clear" w:color="auto" w:fill="auto"/>
            <w:noWrap/>
            <w:vAlign w:val="bottom"/>
            <w:hideMark/>
          </w:tcPr>
          <w:p w14:paraId="48A7FAD0" w14:textId="77777777" w:rsidR="00A005B7" w:rsidRPr="00A53C66" w:rsidRDefault="00A005B7" w:rsidP="000B616F">
            <w:pPr>
              <w:keepNext/>
              <w:keepLines/>
              <w:widowControl/>
              <w:autoSpaceDE/>
              <w:autoSpaceDN/>
              <w:adjustRightInd/>
              <w:ind w:firstLine="960"/>
              <w:rPr>
                <w:color w:val="000000"/>
              </w:rPr>
            </w:pPr>
            <w:r w:rsidRPr="00A53C66">
              <w:rPr>
                <w:color w:val="000000"/>
              </w:rPr>
              <w:t>$61.77</w:t>
            </w:r>
          </w:p>
        </w:tc>
        <w:tc>
          <w:tcPr>
            <w:tcW w:w="276" w:type="dxa"/>
            <w:tcBorders>
              <w:top w:val="nil"/>
              <w:left w:val="nil"/>
              <w:bottom w:val="nil"/>
              <w:right w:val="single" w:sz="8" w:space="0" w:color="auto"/>
            </w:tcBorders>
            <w:shd w:val="clear" w:color="auto" w:fill="auto"/>
            <w:noWrap/>
            <w:vAlign w:val="bottom"/>
            <w:hideMark/>
          </w:tcPr>
          <w:p w14:paraId="6F4DD1A1"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67FAE1AE"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3FA4DE3D"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32EEA8DF" w14:textId="77777777" w:rsidR="00A005B7" w:rsidRPr="00A53C66" w:rsidRDefault="00A005B7" w:rsidP="000B616F">
            <w:pPr>
              <w:keepNext/>
              <w:keepLines/>
              <w:widowControl/>
              <w:autoSpaceDE/>
              <w:autoSpaceDN/>
              <w:adjustRightInd/>
              <w:rPr>
                <w:color w:val="000000"/>
              </w:rPr>
            </w:pPr>
            <w:r w:rsidRPr="00A53C66">
              <w:rPr>
                <w:color w:val="000000"/>
              </w:rPr>
              <w:t>UI Supplier Weighted Average</w:t>
            </w:r>
          </w:p>
        </w:tc>
        <w:tc>
          <w:tcPr>
            <w:tcW w:w="1300" w:type="dxa"/>
            <w:tcBorders>
              <w:top w:val="nil"/>
              <w:left w:val="nil"/>
              <w:bottom w:val="nil"/>
              <w:right w:val="nil"/>
            </w:tcBorders>
            <w:shd w:val="clear" w:color="auto" w:fill="auto"/>
            <w:noWrap/>
            <w:vAlign w:val="bottom"/>
            <w:hideMark/>
          </w:tcPr>
          <w:p w14:paraId="08D13D45" w14:textId="77777777" w:rsidR="00A005B7" w:rsidRPr="00A53C66" w:rsidRDefault="00A005B7" w:rsidP="000B616F">
            <w:pPr>
              <w:keepNext/>
              <w:keepLines/>
              <w:widowControl/>
              <w:autoSpaceDE/>
              <w:autoSpaceDN/>
              <w:adjustRightInd/>
              <w:jc w:val="right"/>
              <w:rPr>
                <w:color w:val="000000"/>
              </w:rPr>
            </w:pPr>
            <w:r w:rsidRPr="00A53C66">
              <w:rPr>
                <w:color w:val="000000"/>
              </w:rPr>
              <w:t>0.11112</w:t>
            </w:r>
          </w:p>
        </w:tc>
        <w:tc>
          <w:tcPr>
            <w:tcW w:w="1980" w:type="dxa"/>
            <w:tcBorders>
              <w:top w:val="nil"/>
              <w:left w:val="nil"/>
              <w:bottom w:val="nil"/>
              <w:right w:val="nil"/>
            </w:tcBorders>
            <w:shd w:val="clear" w:color="auto" w:fill="auto"/>
            <w:noWrap/>
            <w:vAlign w:val="bottom"/>
            <w:hideMark/>
          </w:tcPr>
          <w:p w14:paraId="5E2833C4" w14:textId="77777777" w:rsidR="00A005B7" w:rsidRPr="00A53C66" w:rsidRDefault="00A005B7" w:rsidP="000B616F">
            <w:pPr>
              <w:keepNext/>
              <w:keepLines/>
              <w:widowControl/>
              <w:autoSpaceDE/>
              <w:autoSpaceDN/>
              <w:adjustRightInd/>
              <w:ind w:firstLine="960"/>
              <w:rPr>
                <w:color w:val="000000"/>
              </w:rPr>
            </w:pPr>
            <w:r w:rsidRPr="00A53C66">
              <w:rPr>
                <w:color w:val="000000"/>
              </w:rPr>
              <w:t>$83.34</w:t>
            </w:r>
          </w:p>
        </w:tc>
        <w:tc>
          <w:tcPr>
            <w:tcW w:w="276" w:type="dxa"/>
            <w:tcBorders>
              <w:top w:val="nil"/>
              <w:left w:val="nil"/>
              <w:bottom w:val="nil"/>
              <w:right w:val="single" w:sz="8" w:space="0" w:color="auto"/>
            </w:tcBorders>
            <w:shd w:val="clear" w:color="auto" w:fill="auto"/>
            <w:noWrap/>
            <w:vAlign w:val="bottom"/>
            <w:hideMark/>
          </w:tcPr>
          <w:p w14:paraId="4756CCC8"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08809221"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1EB0C5ED"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7EA5D648" w14:textId="77777777" w:rsidR="00A005B7" w:rsidRPr="00A53C66" w:rsidRDefault="00A005B7" w:rsidP="000B616F">
            <w:pPr>
              <w:keepNext/>
              <w:keepLines/>
              <w:widowControl/>
              <w:autoSpaceDE/>
              <w:autoSpaceDN/>
              <w:adjustRightInd/>
              <w:rPr>
                <w:color w:val="000000"/>
              </w:rPr>
            </w:pPr>
            <w:r>
              <w:rPr>
                <w:color w:val="000000"/>
              </w:rPr>
              <w:t xml:space="preserve">Percent </w:t>
            </w:r>
            <w:r w:rsidRPr="00A53C66">
              <w:rPr>
                <w:color w:val="000000"/>
              </w:rPr>
              <w:t>Difference</w:t>
            </w:r>
          </w:p>
        </w:tc>
        <w:tc>
          <w:tcPr>
            <w:tcW w:w="1300" w:type="dxa"/>
            <w:tcBorders>
              <w:top w:val="nil"/>
              <w:left w:val="nil"/>
              <w:bottom w:val="nil"/>
              <w:right w:val="nil"/>
            </w:tcBorders>
            <w:shd w:val="clear" w:color="auto" w:fill="auto"/>
            <w:noWrap/>
            <w:vAlign w:val="bottom"/>
            <w:hideMark/>
          </w:tcPr>
          <w:p w14:paraId="3B1A8968" w14:textId="77777777" w:rsidR="00A005B7" w:rsidRPr="00A53C66" w:rsidRDefault="00A005B7" w:rsidP="000B616F">
            <w:pPr>
              <w:keepNext/>
              <w:keepLines/>
              <w:widowControl/>
              <w:autoSpaceDE/>
              <w:autoSpaceDN/>
              <w:adjustRightInd/>
              <w:jc w:val="right"/>
              <w:rPr>
                <w:color w:val="000000"/>
              </w:rPr>
            </w:pPr>
            <w:r w:rsidRPr="00A53C66">
              <w:rPr>
                <w:color w:val="000000"/>
              </w:rPr>
              <w:t>35%</w:t>
            </w:r>
          </w:p>
        </w:tc>
        <w:tc>
          <w:tcPr>
            <w:tcW w:w="1980" w:type="dxa"/>
            <w:tcBorders>
              <w:top w:val="nil"/>
              <w:left w:val="nil"/>
              <w:bottom w:val="nil"/>
              <w:right w:val="nil"/>
            </w:tcBorders>
            <w:shd w:val="clear" w:color="auto" w:fill="auto"/>
            <w:noWrap/>
            <w:vAlign w:val="bottom"/>
            <w:hideMark/>
          </w:tcPr>
          <w:p w14:paraId="0416415D" w14:textId="77777777" w:rsidR="00A005B7" w:rsidRPr="00A53C66" w:rsidRDefault="00A005B7" w:rsidP="000B616F">
            <w:pPr>
              <w:keepNext/>
              <w:keepLines/>
              <w:widowControl/>
              <w:autoSpaceDE/>
              <w:autoSpaceDN/>
              <w:adjustRightInd/>
              <w:ind w:firstLine="960"/>
              <w:rPr>
                <w:color w:val="000000"/>
              </w:rPr>
            </w:pPr>
            <w:r w:rsidRPr="00A53C66">
              <w:rPr>
                <w:color w:val="000000"/>
              </w:rPr>
              <w:t>35%</w:t>
            </w:r>
          </w:p>
        </w:tc>
        <w:tc>
          <w:tcPr>
            <w:tcW w:w="276" w:type="dxa"/>
            <w:tcBorders>
              <w:top w:val="nil"/>
              <w:left w:val="nil"/>
              <w:bottom w:val="nil"/>
              <w:right w:val="single" w:sz="8" w:space="0" w:color="auto"/>
            </w:tcBorders>
            <w:shd w:val="clear" w:color="auto" w:fill="auto"/>
            <w:noWrap/>
            <w:vAlign w:val="bottom"/>
            <w:hideMark/>
          </w:tcPr>
          <w:p w14:paraId="64D63372"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765F9E0C" w14:textId="77777777" w:rsidTr="00A10500">
        <w:trPr>
          <w:trHeight w:val="340"/>
          <w:jc w:val="center"/>
        </w:trPr>
        <w:tc>
          <w:tcPr>
            <w:tcW w:w="276" w:type="dxa"/>
            <w:tcBorders>
              <w:top w:val="nil"/>
              <w:left w:val="single" w:sz="8" w:space="0" w:color="auto"/>
              <w:bottom w:val="nil"/>
              <w:right w:val="nil"/>
            </w:tcBorders>
            <w:shd w:val="clear" w:color="auto" w:fill="auto"/>
            <w:noWrap/>
            <w:vAlign w:val="bottom"/>
            <w:hideMark/>
          </w:tcPr>
          <w:p w14:paraId="4772BD2D"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nil"/>
              <w:right w:val="nil"/>
            </w:tcBorders>
            <w:shd w:val="clear" w:color="auto" w:fill="auto"/>
            <w:noWrap/>
            <w:vAlign w:val="bottom"/>
            <w:hideMark/>
          </w:tcPr>
          <w:p w14:paraId="17D0423D" w14:textId="77777777" w:rsidR="00A005B7" w:rsidRPr="00A53C66" w:rsidRDefault="00A005B7" w:rsidP="000B616F">
            <w:pPr>
              <w:keepNext/>
              <w:keepLines/>
              <w:widowControl/>
              <w:autoSpaceDE/>
              <w:autoSpaceDN/>
              <w:adjustRightInd/>
              <w:rPr>
                <w:color w:val="000000"/>
              </w:rPr>
            </w:pPr>
            <w:r>
              <w:rPr>
                <w:color w:val="000000"/>
              </w:rPr>
              <w:t xml:space="preserve">Monthly Dollar </w:t>
            </w:r>
            <w:r w:rsidRPr="00A53C66">
              <w:rPr>
                <w:color w:val="000000"/>
              </w:rPr>
              <w:t>Difference</w:t>
            </w:r>
          </w:p>
        </w:tc>
        <w:tc>
          <w:tcPr>
            <w:tcW w:w="1300" w:type="dxa"/>
            <w:tcBorders>
              <w:top w:val="nil"/>
              <w:left w:val="nil"/>
              <w:bottom w:val="nil"/>
              <w:right w:val="nil"/>
            </w:tcBorders>
            <w:shd w:val="clear" w:color="auto" w:fill="auto"/>
            <w:noWrap/>
            <w:vAlign w:val="bottom"/>
            <w:hideMark/>
          </w:tcPr>
          <w:p w14:paraId="2B89DE4D" w14:textId="77777777" w:rsidR="00A005B7" w:rsidRPr="00A53C66" w:rsidRDefault="00A005B7" w:rsidP="000B616F">
            <w:pPr>
              <w:keepNext/>
              <w:keepLines/>
              <w:widowControl/>
              <w:autoSpaceDE/>
              <w:autoSpaceDN/>
              <w:adjustRightInd/>
              <w:rPr>
                <w:color w:val="000000"/>
              </w:rPr>
            </w:pPr>
          </w:p>
        </w:tc>
        <w:tc>
          <w:tcPr>
            <w:tcW w:w="1980" w:type="dxa"/>
            <w:tcBorders>
              <w:top w:val="nil"/>
              <w:left w:val="nil"/>
              <w:bottom w:val="nil"/>
              <w:right w:val="nil"/>
            </w:tcBorders>
            <w:shd w:val="clear" w:color="auto" w:fill="auto"/>
            <w:noWrap/>
            <w:vAlign w:val="bottom"/>
            <w:hideMark/>
          </w:tcPr>
          <w:p w14:paraId="6321F607" w14:textId="77777777" w:rsidR="00A005B7" w:rsidRPr="00A53C66" w:rsidRDefault="00A005B7" w:rsidP="000B616F">
            <w:pPr>
              <w:keepNext/>
              <w:keepLines/>
              <w:widowControl/>
              <w:autoSpaceDE/>
              <w:autoSpaceDN/>
              <w:adjustRightInd/>
              <w:ind w:firstLine="960"/>
              <w:rPr>
                <w:color w:val="000000"/>
              </w:rPr>
            </w:pPr>
            <w:r w:rsidRPr="00A53C66">
              <w:rPr>
                <w:color w:val="000000"/>
              </w:rPr>
              <w:t>$21.57</w:t>
            </w:r>
          </w:p>
        </w:tc>
        <w:tc>
          <w:tcPr>
            <w:tcW w:w="276" w:type="dxa"/>
            <w:tcBorders>
              <w:top w:val="nil"/>
              <w:left w:val="nil"/>
              <w:bottom w:val="nil"/>
              <w:right w:val="single" w:sz="8" w:space="0" w:color="auto"/>
            </w:tcBorders>
            <w:shd w:val="clear" w:color="auto" w:fill="auto"/>
            <w:noWrap/>
            <w:vAlign w:val="bottom"/>
            <w:hideMark/>
          </w:tcPr>
          <w:p w14:paraId="28E86461" w14:textId="77777777" w:rsidR="00A005B7" w:rsidRPr="00A53C66" w:rsidRDefault="00A005B7" w:rsidP="000B616F">
            <w:pPr>
              <w:keepNext/>
              <w:keepLines/>
              <w:widowControl/>
              <w:autoSpaceDE/>
              <w:autoSpaceDN/>
              <w:adjustRightInd/>
              <w:rPr>
                <w:color w:val="000000"/>
              </w:rPr>
            </w:pPr>
            <w:r w:rsidRPr="00A53C66">
              <w:rPr>
                <w:color w:val="000000"/>
              </w:rPr>
              <w:t> </w:t>
            </w:r>
          </w:p>
        </w:tc>
      </w:tr>
      <w:tr w:rsidR="00A005B7" w:rsidRPr="00A53C66" w14:paraId="7840558D" w14:textId="77777777" w:rsidTr="00A10500">
        <w:trPr>
          <w:trHeight w:val="320"/>
          <w:jc w:val="center"/>
        </w:trPr>
        <w:tc>
          <w:tcPr>
            <w:tcW w:w="276" w:type="dxa"/>
            <w:tcBorders>
              <w:top w:val="nil"/>
              <w:left w:val="single" w:sz="8" w:space="0" w:color="auto"/>
              <w:bottom w:val="single" w:sz="8" w:space="0" w:color="auto"/>
              <w:right w:val="nil"/>
            </w:tcBorders>
            <w:shd w:val="clear" w:color="auto" w:fill="auto"/>
            <w:noWrap/>
            <w:vAlign w:val="bottom"/>
            <w:hideMark/>
          </w:tcPr>
          <w:p w14:paraId="4D3F3722"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4320" w:type="dxa"/>
            <w:tcBorders>
              <w:top w:val="nil"/>
              <w:left w:val="nil"/>
              <w:bottom w:val="single" w:sz="8" w:space="0" w:color="auto"/>
              <w:right w:val="nil"/>
            </w:tcBorders>
            <w:shd w:val="clear" w:color="auto" w:fill="auto"/>
            <w:noWrap/>
            <w:vAlign w:val="bottom"/>
            <w:hideMark/>
          </w:tcPr>
          <w:p w14:paraId="0D32E819"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1300" w:type="dxa"/>
            <w:tcBorders>
              <w:top w:val="nil"/>
              <w:left w:val="nil"/>
              <w:bottom w:val="single" w:sz="8" w:space="0" w:color="auto"/>
              <w:right w:val="nil"/>
            </w:tcBorders>
            <w:shd w:val="clear" w:color="auto" w:fill="auto"/>
            <w:noWrap/>
            <w:vAlign w:val="bottom"/>
            <w:hideMark/>
          </w:tcPr>
          <w:p w14:paraId="74FECB44"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1980" w:type="dxa"/>
            <w:tcBorders>
              <w:top w:val="nil"/>
              <w:left w:val="nil"/>
              <w:bottom w:val="single" w:sz="8" w:space="0" w:color="auto"/>
              <w:right w:val="nil"/>
            </w:tcBorders>
            <w:shd w:val="clear" w:color="auto" w:fill="auto"/>
            <w:noWrap/>
            <w:vAlign w:val="bottom"/>
            <w:hideMark/>
          </w:tcPr>
          <w:p w14:paraId="6DC8D4C7" w14:textId="77777777" w:rsidR="00A005B7" w:rsidRPr="00A53C66" w:rsidRDefault="00A005B7" w:rsidP="000B616F">
            <w:pPr>
              <w:keepNext/>
              <w:keepLines/>
              <w:widowControl/>
              <w:autoSpaceDE/>
              <w:autoSpaceDN/>
              <w:adjustRightInd/>
              <w:rPr>
                <w:color w:val="000000"/>
              </w:rPr>
            </w:pPr>
            <w:r w:rsidRPr="00A53C66">
              <w:rPr>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14:paraId="4C97D7D8" w14:textId="77777777" w:rsidR="00A005B7" w:rsidRPr="00A53C66" w:rsidRDefault="00A005B7" w:rsidP="000B616F">
            <w:pPr>
              <w:keepNext/>
              <w:keepLines/>
              <w:widowControl/>
              <w:autoSpaceDE/>
              <w:autoSpaceDN/>
              <w:adjustRightInd/>
              <w:rPr>
                <w:color w:val="000000"/>
              </w:rPr>
            </w:pPr>
            <w:r w:rsidRPr="00A53C66">
              <w:rPr>
                <w:color w:val="000000"/>
              </w:rPr>
              <w:t> </w:t>
            </w:r>
          </w:p>
        </w:tc>
      </w:tr>
    </w:tbl>
    <w:p w14:paraId="571F0B7D" w14:textId="77777777" w:rsidR="00597E6D" w:rsidRDefault="00597E6D" w:rsidP="00A005B7">
      <w:pPr>
        <w:spacing w:line="480" w:lineRule="auto"/>
        <w:ind w:left="720"/>
        <w:rPr>
          <w:b/>
        </w:rPr>
      </w:pPr>
    </w:p>
    <w:p w14:paraId="5D08B19F" w14:textId="77777777" w:rsidR="00A005B7" w:rsidRDefault="00A005B7" w:rsidP="00A005B7">
      <w:pPr>
        <w:spacing w:line="480" w:lineRule="auto"/>
        <w:ind w:left="720"/>
      </w:pPr>
      <w:r>
        <w:t>Also, it is important to remember that the typical usage of 750 kWh is for non-heating customers.  Any price difference is magnified for consumers who also use electricity to heat their homes.</w:t>
      </w:r>
    </w:p>
    <w:p w14:paraId="3192FA3A" w14:textId="77777777" w:rsidR="00A005B7" w:rsidRDefault="00A005B7" w:rsidP="00A005B7">
      <w:pPr>
        <w:spacing w:line="480" w:lineRule="auto"/>
        <w:ind w:left="720" w:hanging="720"/>
        <w:rPr>
          <w:b/>
        </w:rPr>
      </w:pPr>
      <w:r>
        <w:rPr>
          <w:b/>
        </w:rPr>
        <w:t>Q:</w:t>
      </w:r>
      <w:r>
        <w:rPr>
          <w:b/>
        </w:rPr>
        <w:tab/>
        <w:t xml:space="preserve">Have you </w:t>
      </w:r>
      <w:r w:rsidR="008C6832">
        <w:rPr>
          <w:b/>
        </w:rPr>
        <w:t>estimated</w:t>
      </w:r>
      <w:r>
        <w:rPr>
          <w:b/>
        </w:rPr>
        <w:t xml:space="preserve"> the total dollar impact of these price differences</w:t>
      </w:r>
      <w:r w:rsidR="00866868">
        <w:rPr>
          <w:b/>
        </w:rPr>
        <w:t xml:space="preserve"> for Connecticut’s consumers</w:t>
      </w:r>
      <w:r>
        <w:rPr>
          <w:b/>
        </w:rPr>
        <w:t>?</w:t>
      </w:r>
    </w:p>
    <w:p w14:paraId="6E965843" w14:textId="77777777" w:rsidR="00A005B7" w:rsidRDefault="00A005B7" w:rsidP="002C2583">
      <w:pPr>
        <w:spacing w:line="480" w:lineRule="auto"/>
        <w:ind w:left="720" w:hanging="720"/>
      </w:pPr>
      <w:r w:rsidRPr="00037A13">
        <w:t>A:</w:t>
      </w:r>
      <w:r w:rsidRPr="00037A13">
        <w:tab/>
      </w:r>
      <w:r>
        <w:t xml:space="preserve">Yes.  </w:t>
      </w:r>
      <w:r w:rsidR="008C6832">
        <w:t xml:space="preserve">We estimate that </w:t>
      </w:r>
      <w:r>
        <w:t>Connecticut consumers who elect</w:t>
      </w:r>
      <w:r w:rsidR="00965A3C">
        <w:t xml:space="preserve">ed </w:t>
      </w:r>
      <w:r>
        <w:t>alternative</w:t>
      </w:r>
      <w:r w:rsidR="00A93FF2">
        <w:t xml:space="preserve"> Supplier</w:t>
      </w:r>
      <w:r>
        <w:t xml:space="preserve">s </w:t>
      </w:r>
      <w:r w:rsidR="00965A3C">
        <w:t>during the month long billing periods</w:t>
      </w:r>
      <w:r w:rsidR="008B6DBC">
        <w:t xml:space="preserve"> we </w:t>
      </w:r>
      <w:r w:rsidR="00965A3C">
        <w:t>analyzed paid</w:t>
      </w:r>
      <w:r>
        <w:t xml:space="preserve"> more than $</w:t>
      </w:r>
      <w:r w:rsidR="00BA380F">
        <w:t>13.7</w:t>
      </w:r>
      <w:r>
        <w:t xml:space="preserve"> million over what they would </w:t>
      </w:r>
      <w:r w:rsidR="00965A3C">
        <w:t>have paid</w:t>
      </w:r>
      <w:r>
        <w:t xml:space="preserve"> if they</w:t>
      </w:r>
      <w:r w:rsidR="00965A3C">
        <w:t xml:space="preserve"> had chosen the EDCs’ </w:t>
      </w:r>
      <w:r w:rsidR="00A93FF2">
        <w:t>Standard Offer</w:t>
      </w:r>
      <w:r>
        <w:t>.</w:t>
      </w:r>
      <w:r>
        <w:rPr>
          <w:rStyle w:val="FootnoteReference"/>
        </w:rPr>
        <w:footnoteReference w:id="64"/>
      </w:r>
      <w:r>
        <w:t xml:space="preserve"> </w:t>
      </w:r>
      <w:r w:rsidR="00965A3C">
        <w:t xml:space="preserve"> </w:t>
      </w:r>
      <w:r w:rsidR="00CC6305">
        <w:t>Consumers who pay for</w:t>
      </w:r>
      <w:r w:rsidR="00A93FF2">
        <w:t xml:space="preserve"> Supplier</w:t>
      </w:r>
      <w:r w:rsidR="00CC6305">
        <w:t xml:space="preserve">-provided electricity for heat are particularly vulnerable to over-priced rates. </w:t>
      </w:r>
      <w:r w:rsidR="002833DC">
        <w:t xml:space="preserve"> Table </w:t>
      </w:r>
      <w:r w:rsidR="0055710F">
        <w:t xml:space="preserve">19 </w:t>
      </w:r>
      <w:r>
        <w:t xml:space="preserve">below illustrates </w:t>
      </w:r>
      <w:r w:rsidR="00AD6779">
        <w:t xml:space="preserve">our </w:t>
      </w:r>
      <w:r>
        <w:t>estimates.</w:t>
      </w:r>
    </w:p>
    <w:p w14:paraId="18C4F056" w14:textId="77777777" w:rsidR="00A005B7" w:rsidRDefault="00A005B7" w:rsidP="002C2583">
      <w:pPr>
        <w:keepNext/>
        <w:keepLines/>
        <w:ind w:left="720" w:hanging="720"/>
        <w:jc w:val="center"/>
        <w:rPr>
          <w:b/>
        </w:rPr>
      </w:pPr>
      <w:r>
        <w:rPr>
          <w:b/>
        </w:rPr>
        <w:t xml:space="preserve">Table </w:t>
      </w:r>
      <w:r w:rsidR="0055710F">
        <w:rPr>
          <w:b/>
        </w:rPr>
        <w:t>19</w:t>
      </w:r>
    </w:p>
    <w:p w14:paraId="5644DF98" w14:textId="77777777" w:rsidR="00A005B7" w:rsidRDefault="00A005B7" w:rsidP="002C2583">
      <w:pPr>
        <w:keepNext/>
        <w:keepLines/>
        <w:ind w:left="720" w:hanging="720"/>
        <w:jc w:val="center"/>
        <w:rPr>
          <w:b/>
        </w:rPr>
      </w:pPr>
      <w:r>
        <w:rPr>
          <w:b/>
        </w:rPr>
        <w:t>Total Cost to Connecticut Consumers of Supplier Price Difference</w:t>
      </w:r>
    </w:p>
    <w:p w14:paraId="2B42A795" w14:textId="77777777" w:rsidR="00CC6305" w:rsidRDefault="00CC6305" w:rsidP="002C2583">
      <w:pPr>
        <w:keepNext/>
        <w:keepLines/>
        <w:ind w:left="720" w:hanging="720"/>
        <w:jc w:val="center"/>
        <w:rPr>
          <w:b/>
        </w:rPr>
      </w:pPr>
    </w:p>
    <w:p w14:paraId="3723BF0B" w14:textId="77777777" w:rsidR="00A005B7" w:rsidRDefault="00A005B7" w:rsidP="00965A3C">
      <w:pPr>
        <w:keepNext/>
        <w:keepLines/>
        <w:ind w:left="720" w:hanging="720"/>
      </w:pPr>
    </w:p>
    <w:tbl>
      <w:tblPr>
        <w:tblW w:w="8538" w:type="dxa"/>
        <w:jc w:val="center"/>
        <w:tblLayout w:type="fixed"/>
        <w:tblLook w:val="04A0" w:firstRow="1" w:lastRow="0" w:firstColumn="1" w:lastColumn="0" w:noHBand="0" w:noVBand="1"/>
      </w:tblPr>
      <w:tblGrid>
        <w:gridCol w:w="236"/>
        <w:gridCol w:w="3339"/>
        <w:gridCol w:w="1393"/>
        <w:gridCol w:w="1710"/>
        <w:gridCol w:w="1600"/>
        <w:gridCol w:w="260"/>
      </w:tblGrid>
      <w:tr w:rsidR="00965A3C" w:rsidRPr="00444014" w14:paraId="37498199" w14:textId="77777777" w:rsidTr="00965A3C">
        <w:trPr>
          <w:trHeight w:val="106"/>
          <w:jc w:val="center"/>
        </w:trPr>
        <w:tc>
          <w:tcPr>
            <w:tcW w:w="236" w:type="dxa"/>
            <w:tcBorders>
              <w:top w:val="single" w:sz="8" w:space="0" w:color="auto"/>
              <w:left w:val="single" w:sz="8" w:space="0" w:color="auto"/>
              <w:bottom w:val="nil"/>
              <w:right w:val="nil"/>
            </w:tcBorders>
            <w:shd w:val="clear" w:color="auto" w:fill="auto"/>
            <w:noWrap/>
            <w:vAlign w:val="bottom"/>
            <w:hideMark/>
          </w:tcPr>
          <w:p w14:paraId="7164E082" w14:textId="77777777" w:rsidR="00965A3C" w:rsidRPr="00444014" w:rsidRDefault="00965A3C" w:rsidP="002C2583">
            <w:pPr>
              <w:widowControl/>
              <w:autoSpaceDE/>
              <w:autoSpaceDN/>
              <w:adjustRightInd/>
              <w:rPr>
                <w:color w:val="000000"/>
              </w:rPr>
            </w:pPr>
            <w:r w:rsidRPr="00444014">
              <w:rPr>
                <w:color w:val="000000"/>
              </w:rPr>
              <w:t> </w:t>
            </w:r>
          </w:p>
        </w:tc>
        <w:tc>
          <w:tcPr>
            <w:tcW w:w="3339" w:type="dxa"/>
            <w:tcBorders>
              <w:top w:val="single" w:sz="8" w:space="0" w:color="auto"/>
              <w:left w:val="nil"/>
              <w:bottom w:val="nil"/>
              <w:right w:val="nil"/>
            </w:tcBorders>
            <w:shd w:val="clear" w:color="auto" w:fill="auto"/>
            <w:noWrap/>
            <w:vAlign w:val="bottom"/>
            <w:hideMark/>
          </w:tcPr>
          <w:p w14:paraId="4605E16C" w14:textId="77777777" w:rsidR="00965A3C" w:rsidRPr="00444014" w:rsidRDefault="00965A3C" w:rsidP="002C2583">
            <w:pPr>
              <w:widowControl/>
              <w:autoSpaceDE/>
              <w:autoSpaceDN/>
              <w:adjustRightInd/>
              <w:rPr>
                <w:color w:val="000000"/>
              </w:rPr>
            </w:pPr>
            <w:r w:rsidRPr="00444014">
              <w:rPr>
                <w:color w:val="000000"/>
              </w:rPr>
              <w:t> </w:t>
            </w:r>
          </w:p>
        </w:tc>
        <w:tc>
          <w:tcPr>
            <w:tcW w:w="1393" w:type="dxa"/>
            <w:tcBorders>
              <w:top w:val="single" w:sz="8" w:space="0" w:color="auto"/>
              <w:left w:val="nil"/>
              <w:bottom w:val="nil"/>
              <w:right w:val="nil"/>
            </w:tcBorders>
            <w:shd w:val="clear" w:color="auto" w:fill="auto"/>
            <w:noWrap/>
            <w:vAlign w:val="bottom"/>
            <w:hideMark/>
          </w:tcPr>
          <w:p w14:paraId="6AA5D25C" w14:textId="77777777" w:rsidR="00965A3C" w:rsidRPr="00444014" w:rsidRDefault="00965A3C" w:rsidP="002C2583">
            <w:pPr>
              <w:widowControl/>
              <w:autoSpaceDE/>
              <w:autoSpaceDN/>
              <w:adjustRightInd/>
              <w:rPr>
                <w:color w:val="000000"/>
              </w:rPr>
            </w:pPr>
            <w:r w:rsidRPr="00444014">
              <w:rPr>
                <w:color w:val="000000"/>
              </w:rPr>
              <w:t> </w:t>
            </w:r>
          </w:p>
        </w:tc>
        <w:tc>
          <w:tcPr>
            <w:tcW w:w="1710" w:type="dxa"/>
            <w:tcBorders>
              <w:top w:val="single" w:sz="8" w:space="0" w:color="auto"/>
              <w:left w:val="nil"/>
              <w:bottom w:val="nil"/>
              <w:right w:val="nil"/>
            </w:tcBorders>
            <w:shd w:val="clear" w:color="auto" w:fill="auto"/>
            <w:noWrap/>
            <w:vAlign w:val="bottom"/>
            <w:hideMark/>
          </w:tcPr>
          <w:p w14:paraId="7684035D" w14:textId="77777777" w:rsidR="00965A3C" w:rsidRPr="00444014" w:rsidRDefault="00965A3C" w:rsidP="002C2583">
            <w:pPr>
              <w:widowControl/>
              <w:autoSpaceDE/>
              <w:autoSpaceDN/>
              <w:adjustRightInd/>
              <w:rPr>
                <w:color w:val="000000"/>
              </w:rPr>
            </w:pPr>
            <w:r w:rsidRPr="00444014">
              <w:rPr>
                <w:color w:val="000000"/>
              </w:rPr>
              <w:t> </w:t>
            </w:r>
          </w:p>
        </w:tc>
        <w:tc>
          <w:tcPr>
            <w:tcW w:w="1600" w:type="dxa"/>
            <w:tcBorders>
              <w:top w:val="single" w:sz="8" w:space="0" w:color="auto"/>
              <w:left w:val="nil"/>
              <w:bottom w:val="nil"/>
              <w:right w:val="nil"/>
            </w:tcBorders>
            <w:shd w:val="clear" w:color="auto" w:fill="auto"/>
            <w:noWrap/>
            <w:vAlign w:val="bottom"/>
            <w:hideMark/>
          </w:tcPr>
          <w:p w14:paraId="4181EEDC" w14:textId="77777777" w:rsidR="00965A3C" w:rsidRPr="00444014" w:rsidRDefault="00965A3C" w:rsidP="002C2583">
            <w:pPr>
              <w:widowControl/>
              <w:autoSpaceDE/>
              <w:autoSpaceDN/>
              <w:adjustRightInd/>
              <w:rPr>
                <w:color w:val="000000"/>
              </w:rPr>
            </w:pPr>
            <w:r w:rsidRPr="00444014">
              <w:rPr>
                <w:color w:val="000000"/>
              </w:rPr>
              <w:t> </w:t>
            </w:r>
          </w:p>
        </w:tc>
        <w:tc>
          <w:tcPr>
            <w:tcW w:w="260" w:type="dxa"/>
            <w:tcBorders>
              <w:top w:val="single" w:sz="8" w:space="0" w:color="auto"/>
              <w:left w:val="nil"/>
              <w:bottom w:val="nil"/>
              <w:right w:val="single" w:sz="8" w:space="0" w:color="auto"/>
            </w:tcBorders>
            <w:shd w:val="clear" w:color="auto" w:fill="auto"/>
            <w:noWrap/>
            <w:vAlign w:val="bottom"/>
            <w:hideMark/>
          </w:tcPr>
          <w:p w14:paraId="30B5534D" w14:textId="77777777" w:rsidR="00965A3C" w:rsidRPr="00444014" w:rsidRDefault="00965A3C" w:rsidP="002C2583">
            <w:pPr>
              <w:widowControl/>
              <w:autoSpaceDE/>
              <w:autoSpaceDN/>
              <w:adjustRightInd/>
              <w:rPr>
                <w:color w:val="000000"/>
              </w:rPr>
            </w:pPr>
            <w:r w:rsidRPr="00444014">
              <w:rPr>
                <w:color w:val="000000"/>
              </w:rPr>
              <w:t> </w:t>
            </w:r>
          </w:p>
        </w:tc>
      </w:tr>
      <w:tr w:rsidR="00965A3C" w:rsidRPr="00444014" w14:paraId="6C6171DD" w14:textId="77777777" w:rsidTr="00965A3C">
        <w:trPr>
          <w:trHeight w:val="1071"/>
          <w:jc w:val="center"/>
        </w:trPr>
        <w:tc>
          <w:tcPr>
            <w:tcW w:w="236" w:type="dxa"/>
            <w:tcBorders>
              <w:top w:val="nil"/>
              <w:left w:val="single" w:sz="8" w:space="0" w:color="auto"/>
              <w:bottom w:val="single" w:sz="8" w:space="0" w:color="auto"/>
              <w:right w:val="nil"/>
            </w:tcBorders>
            <w:shd w:val="clear" w:color="auto" w:fill="auto"/>
            <w:noWrap/>
            <w:vAlign w:val="bottom"/>
            <w:hideMark/>
          </w:tcPr>
          <w:p w14:paraId="19FD8F25" w14:textId="77777777" w:rsidR="00965A3C" w:rsidRPr="00444014" w:rsidRDefault="00965A3C" w:rsidP="002C2583">
            <w:pPr>
              <w:widowControl/>
              <w:autoSpaceDE/>
              <w:autoSpaceDN/>
              <w:adjustRightInd/>
              <w:rPr>
                <w:color w:val="000000"/>
              </w:rPr>
            </w:pPr>
            <w:r w:rsidRPr="00444014">
              <w:rPr>
                <w:color w:val="000000"/>
              </w:rPr>
              <w:t> </w:t>
            </w:r>
          </w:p>
        </w:tc>
        <w:tc>
          <w:tcPr>
            <w:tcW w:w="3339" w:type="dxa"/>
            <w:tcBorders>
              <w:top w:val="nil"/>
              <w:left w:val="nil"/>
              <w:bottom w:val="single" w:sz="8" w:space="0" w:color="auto"/>
              <w:right w:val="nil"/>
            </w:tcBorders>
            <w:shd w:val="clear" w:color="auto" w:fill="auto"/>
            <w:noWrap/>
            <w:vAlign w:val="bottom"/>
            <w:hideMark/>
          </w:tcPr>
          <w:p w14:paraId="2F6939A3" w14:textId="77777777" w:rsidR="00965A3C" w:rsidRPr="00444014" w:rsidRDefault="00965A3C" w:rsidP="002C2583">
            <w:pPr>
              <w:widowControl/>
              <w:autoSpaceDE/>
              <w:autoSpaceDN/>
              <w:adjustRightInd/>
              <w:rPr>
                <w:color w:val="000000"/>
              </w:rPr>
            </w:pPr>
            <w:r w:rsidRPr="00444014">
              <w:rPr>
                <w:color w:val="000000"/>
              </w:rPr>
              <w:t> </w:t>
            </w:r>
          </w:p>
        </w:tc>
        <w:tc>
          <w:tcPr>
            <w:tcW w:w="1393" w:type="dxa"/>
            <w:tcBorders>
              <w:top w:val="nil"/>
              <w:left w:val="nil"/>
              <w:bottom w:val="single" w:sz="8" w:space="0" w:color="auto"/>
              <w:right w:val="nil"/>
            </w:tcBorders>
            <w:shd w:val="clear" w:color="auto" w:fill="auto"/>
            <w:vAlign w:val="center"/>
            <w:hideMark/>
          </w:tcPr>
          <w:p w14:paraId="72D4E8B8" w14:textId="77777777" w:rsidR="00965A3C" w:rsidRPr="00444014" w:rsidRDefault="00965A3C" w:rsidP="002C2583">
            <w:pPr>
              <w:widowControl/>
              <w:autoSpaceDE/>
              <w:autoSpaceDN/>
              <w:adjustRightInd/>
              <w:jc w:val="center"/>
              <w:rPr>
                <w:b/>
                <w:bCs/>
                <w:color w:val="000000"/>
              </w:rPr>
            </w:pPr>
            <w:r w:rsidRPr="00444014">
              <w:rPr>
                <w:b/>
                <w:bCs/>
                <w:color w:val="000000"/>
              </w:rPr>
              <w:t>Number of Customers</w:t>
            </w:r>
          </w:p>
        </w:tc>
        <w:tc>
          <w:tcPr>
            <w:tcW w:w="1710" w:type="dxa"/>
            <w:tcBorders>
              <w:top w:val="nil"/>
              <w:left w:val="nil"/>
              <w:bottom w:val="single" w:sz="8" w:space="0" w:color="auto"/>
              <w:right w:val="nil"/>
            </w:tcBorders>
            <w:shd w:val="clear" w:color="auto" w:fill="auto"/>
            <w:vAlign w:val="center"/>
            <w:hideMark/>
          </w:tcPr>
          <w:p w14:paraId="6CF0D81F" w14:textId="77777777" w:rsidR="00965A3C" w:rsidRPr="00444014" w:rsidRDefault="00965A3C" w:rsidP="002C2583">
            <w:pPr>
              <w:widowControl/>
              <w:autoSpaceDE/>
              <w:autoSpaceDN/>
              <w:adjustRightInd/>
              <w:jc w:val="center"/>
              <w:rPr>
                <w:b/>
                <w:bCs/>
                <w:color w:val="000000"/>
              </w:rPr>
            </w:pPr>
            <w:r w:rsidRPr="00444014">
              <w:rPr>
                <w:b/>
                <w:bCs/>
                <w:color w:val="000000"/>
              </w:rPr>
              <w:t>Monthly Cost Above Standard Offer Per Customer</w:t>
            </w:r>
          </w:p>
          <w:p w14:paraId="6EA01213" w14:textId="77777777" w:rsidR="00965A3C" w:rsidRPr="00444014" w:rsidRDefault="00965A3C" w:rsidP="002C2583">
            <w:pPr>
              <w:widowControl/>
              <w:autoSpaceDE/>
              <w:autoSpaceDN/>
              <w:adjustRightInd/>
              <w:jc w:val="center"/>
              <w:rPr>
                <w:b/>
                <w:bCs/>
                <w:color w:val="000000"/>
              </w:rPr>
            </w:pPr>
          </w:p>
        </w:tc>
        <w:tc>
          <w:tcPr>
            <w:tcW w:w="1600" w:type="dxa"/>
            <w:tcBorders>
              <w:top w:val="nil"/>
              <w:left w:val="nil"/>
              <w:bottom w:val="single" w:sz="8" w:space="0" w:color="auto"/>
              <w:right w:val="nil"/>
            </w:tcBorders>
            <w:shd w:val="clear" w:color="auto" w:fill="auto"/>
            <w:vAlign w:val="center"/>
            <w:hideMark/>
          </w:tcPr>
          <w:p w14:paraId="0DE243A3" w14:textId="77777777" w:rsidR="00965A3C" w:rsidRPr="00444014" w:rsidRDefault="00965A3C" w:rsidP="002C2583">
            <w:pPr>
              <w:widowControl/>
              <w:autoSpaceDE/>
              <w:autoSpaceDN/>
              <w:adjustRightInd/>
              <w:jc w:val="center"/>
              <w:rPr>
                <w:b/>
                <w:bCs/>
                <w:color w:val="000000"/>
              </w:rPr>
            </w:pPr>
            <w:r w:rsidRPr="00444014">
              <w:rPr>
                <w:b/>
                <w:bCs/>
                <w:color w:val="000000"/>
              </w:rPr>
              <w:t>Aggregate Monthly Cost</w:t>
            </w:r>
          </w:p>
        </w:tc>
        <w:tc>
          <w:tcPr>
            <w:tcW w:w="260" w:type="dxa"/>
            <w:tcBorders>
              <w:top w:val="nil"/>
              <w:left w:val="nil"/>
              <w:bottom w:val="single" w:sz="8" w:space="0" w:color="auto"/>
              <w:right w:val="single" w:sz="8" w:space="0" w:color="auto"/>
            </w:tcBorders>
            <w:shd w:val="clear" w:color="auto" w:fill="auto"/>
            <w:noWrap/>
            <w:vAlign w:val="bottom"/>
            <w:hideMark/>
          </w:tcPr>
          <w:p w14:paraId="3C498ADF" w14:textId="77777777" w:rsidR="00965A3C" w:rsidRPr="00444014" w:rsidRDefault="00965A3C" w:rsidP="002C2583">
            <w:pPr>
              <w:widowControl/>
              <w:autoSpaceDE/>
              <w:autoSpaceDN/>
              <w:adjustRightInd/>
              <w:rPr>
                <w:color w:val="000000"/>
              </w:rPr>
            </w:pPr>
            <w:r w:rsidRPr="00444014">
              <w:rPr>
                <w:color w:val="000000"/>
              </w:rPr>
              <w:t> </w:t>
            </w:r>
          </w:p>
        </w:tc>
      </w:tr>
      <w:tr w:rsidR="00965A3C" w:rsidRPr="00444014" w14:paraId="0CB24944" w14:textId="77777777" w:rsidTr="00965A3C">
        <w:trPr>
          <w:trHeight w:val="440"/>
          <w:jc w:val="center"/>
        </w:trPr>
        <w:tc>
          <w:tcPr>
            <w:tcW w:w="236" w:type="dxa"/>
            <w:tcBorders>
              <w:top w:val="nil"/>
              <w:left w:val="single" w:sz="8" w:space="0" w:color="auto"/>
              <w:bottom w:val="nil"/>
              <w:right w:val="nil"/>
            </w:tcBorders>
            <w:shd w:val="clear" w:color="auto" w:fill="auto"/>
            <w:noWrap/>
            <w:vAlign w:val="bottom"/>
            <w:hideMark/>
          </w:tcPr>
          <w:p w14:paraId="715A17DB" w14:textId="77777777" w:rsidR="00965A3C" w:rsidRPr="00444014" w:rsidRDefault="00965A3C" w:rsidP="002C2583">
            <w:pPr>
              <w:widowControl/>
              <w:autoSpaceDE/>
              <w:autoSpaceDN/>
              <w:adjustRightInd/>
              <w:rPr>
                <w:color w:val="000000"/>
              </w:rPr>
            </w:pPr>
            <w:r w:rsidRPr="00444014">
              <w:rPr>
                <w:color w:val="000000"/>
              </w:rPr>
              <w:t> </w:t>
            </w:r>
          </w:p>
        </w:tc>
        <w:tc>
          <w:tcPr>
            <w:tcW w:w="3339" w:type="dxa"/>
            <w:tcBorders>
              <w:top w:val="nil"/>
              <w:left w:val="nil"/>
              <w:bottom w:val="nil"/>
              <w:right w:val="nil"/>
            </w:tcBorders>
            <w:shd w:val="clear" w:color="auto" w:fill="auto"/>
            <w:noWrap/>
            <w:vAlign w:val="bottom"/>
            <w:hideMark/>
          </w:tcPr>
          <w:p w14:paraId="28520E0B" w14:textId="77777777" w:rsidR="00965A3C" w:rsidRPr="00444014" w:rsidRDefault="00965A3C" w:rsidP="002C2583">
            <w:pPr>
              <w:widowControl/>
              <w:autoSpaceDE/>
              <w:autoSpaceDN/>
              <w:adjustRightInd/>
              <w:rPr>
                <w:color w:val="000000"/>
              </w:rPr>
            </w:pPr>
            <w:r w:rsidRPr="00444014">
              <w:rPr>
                <w:color w:val="000000"/>
              </w:rPr>
              <w:t>CL&amp;P Supplier Customers</w:t>
            </w:r>
          </w:p>
        </w:tc>
        <w:tc>
          <w:tcPr>
            <w:tcW w:w="1393" w:type="dxa"/>
            <w:tcBorders>
              <w:top w:val="nil"/>
              <w:left w:val="nil"/>
              <w:bottom w:val="nil"/>
              <w:right w:val="nil"/>
            </w:tcBorders>
            <w:shd w:val="clear" w:color="auto" w:fill="auto"/>
            <w:noWrap/>
            <w:vAlign w:val="bottom"/>
            <w:hideMark/>
          </w:tcPr>
          <w:p w14:paraId="6EF17B9C" w14:textId="77777777" w:rsidR="00965A3C" w:rsidRPr="00444014" w:rsidRDefault="00965A3C" w:rsidP="002C2583">
            <w:pPr>
              <w:widowControl/>
              <w:autoSpaceDE/>
              <w:autoSpaceDN/>
              <w:adjustRightInd/>
              <w:jc w:val="right"/>
              <w:rPr>
                <w:color w:val="000000"/>
              </w:rPr>
            </w:pPr>
            <w:r w:rsidRPr="00444014">
              <w:rPr>
                <w:color w:val="000000"/>
              </w:rPr>
              <w:t xml:space="preserve"> 449,027 </w:t>
            </w:r>
          </w:p>
        </w:tc>
        <w:tc>
          <w:tcPr>
            <w:tcW w:w="1710" w:type="dxa"/>
            <w:tcBorders>
              <w:top w:val="nil"/>
              <w:left w:val="nil"/>
              <w:bottom w:val="nil"/>
              <w:right w:val="nil"/>
            </w:tcBorders>
            <w:shd w:val="clear" w:color="auto" w:fill="auto"/>
            <w:noWrap/>
            <w:vAlign w:val="bottom"/>
            <w:hideMark/>
          </w:tcPr>
          <w:p w14:paraId="411FF1AE" w14:textId="77777777" w:rsidR="00965A3C" w:rsidRPr="00444014" w:rsidRDefault="00965A3C" w:rsidP="002C2583">
            <w:pPr>
              <w:widowControl/>
              <w:autoSpaceDE/>
              <w:autoSpaceDN/>
              <w:adjustRightInd/>
              <w:jc w:val="right"/>
              <w:rPr>
                <w:color w:val="000000"/>
              </w:rPr>
            </w:pPr>
            <w:r w:rsidRPr="00444014">
              <w:rPr>
                <w:color w:val="000000"/>
              </w:rPr>
              <w:t>$23.93</w:t>
            </w:r>
          </w:p>
        </w:tc>
        <w:tc>
          <w:tcPr>
            <w:tcW w:w="1600" w:type="dxa"/>
            <w:tcBorders>
              <w:top w:val="nil"/>
              <w:left w:val="nil"/>
              <w:bottom w:val="nil"/>
              <w:right w:val="nil"/>
            </w:tcBorders>
            <w:shd w:val="clear" w:color="auto" w:fill="auto"/>
            <w:noWrap/>
            <w:vAlign w:val="bottom"/>
            <w:hideMark/>
          </w:tcPr>
          <w:p w14:paraId="01876A2B" w14:textId="77777777" w:rsidR="00965A3C" w:rsidRPr="00444014" w:rsidRDefault="00965A3C" w:rsidP="002C2583">
            <w:pPr>
              <w:widowControl/>
              <w:autoSpaceDE/>
              <w:autoSpaceDN/>
              <w:adjustRightInd/>
              <w:jc w:val="right"/>
              <w:rPr>
                <w:color w:val="000000"/>
              </w:rPr>
            </w:pPr>
            <w:r w:rsidRPr="00444014">
              <w:rPr>
                <w:color w:val="000000"/>
              </w:rPr>
              <w:t>$10,745,216</w:t>
            </w:r>
          </w:p>
        </w:tc>
        <w:tc>
          <w:tcPr>
            <w:tcW w:w="260" w:type="dxa"/>
            <w:tcBorders>
              <w:top w:val="nil"/>
              <w:left w:val="nil"/>
              <w:bottom w:val="nil"/>
              <w:right w:val="single" w:sz="8" w:space="0" w:color="auto"/>
            </w:tcBorders>
            <w:shd w:val="clear" w:color="auto" w:fill="auto"/>
            <w:noWrap/>
            <w:vAlign w:val="bottom"/>
            <w:hideMark/>
          </w:tcPr>
          <w:p w14:paraId="4300B1D0" w14:textId="77777777" w:rsidR="00965A3C" w:rsidRPr="00444014" w:rsidRDefault="00965A3C" w:rsidP="002C2583">
            <w:pPr>
              <w:widowControl/>
              <w:autoSpaceDE/>
              <w:autoSpaceDN/>
              <w:adjustRightInd/>
              <w:rPr>
                <w:color w:val="000000"/>
              </w:rPr>
            </w:pPr>
            <w:r w:rsidRPr="00444014">
              <w:rPr>
                <w:color w:val="000000"/>
              </w:rPr>
              <w:t> </w:t>
            </w:r>
          </w:p>
        </w:tc>
      </w:tr>
      <w:tr w:rsidR="00965A3C" w:rsidRPr="00444014" w14:paraId="44F9FBA6" w14:textId="77777777" w:rsidTr="00965A3C">
        <w:trPr>
          <w:trHeight w:val="440"/>
          <w:jc w:val="center"/>
        </w:trPr>
        <w:tc>
          <w:tcPr>
            <w:tcW w:w="236" w:type="dxa"/>
            <w:tcBorders>
              <w:top w:val="nil"/>
              <w:left w:val="single" w:sz="8" w:space="0" w:color="auto"/>
              <w:bottom w:val="nil"/>
              <w:right w:val="nil"/>
            </w:tcBorders>
            <w:shd w:val="clear" w:color="auto" w:fill="auto"/>
            <w:noWrap/>
            <w:vAlign w:val="bottom"/>
            <w:hideMark/>
          </w:tcPr>
          <w:p w14:paraId="2EB16655" w14:textId="77777777" w:rsidR="00965A3C" w:rsidRPr="00444014" w:rsidRDefault="00965A3C" w:rsidP="002C2583">
            <w:pPr>
              <w:widowControl/>
              <w:autoSpaceDE/>
              <w:autoSpaceDN/>
              <w:adjustRightInd/>
              <w:rPr>
                <w:color w:val="000000"/>
              </w:rPr>
            </w:pPr>
            <w:r w:rsidRPr="00444014">
              <w:rPr>
                <w:color w:val="000000"/>
              </w:rPr>
              <w:t> </w:t>
            </w:r>
          </w:p>
        </w:tc>
        <w:tc>
          <w:tcPr>
            <w:tcW w:w="3339" w:type="dxa"/>
            <w:tcBorders>
              <w:top w:val="nil"/>
              <w:left w:val="nil"/>
              <w:bottom w:val="nil"/>
              <w:right w:val="nil"/>
            </w:tcBorders>
            <w:shd w:val="clear" w:color="auto" w:fill="auto"/>
            <w:noWrap/>
            <w:vAlign w:val="bottom"/>
            <w:hideMark/>
          </w:tcPr>
          <w:p w14:paraId="66AFA04C" w14:textId="77777777" w:rsidR="00965A3C" w:rsidRPr="00444014" w:rsidRDefault="00965A3C" w:rsidP="002C2583">
            <w:pPr>
              <w:widowControl/>
              <w:autoSpaceDE/>
              <w:autoSpaceDN/>
              <w:adjustRightInd/>
              <w:rPr>
                <w:color w:val="000000"/>
              </w:rPr>
            </w:pPr>
            <w:r w:rsidRPr="00444014">
              <w:rPr>
                <w:color w:val="000000"/>
              </w:rPr>
              <w:t>UI Supplier Customers</w:t>
            </w:r>
          </w:p>
        </w:tc>
        <w:tc>
          <w:tcPr>
            <w:tcW w:w="1393" w:type="dxa"/>
            <w:tcBorders>
              <w:top w:val="nil"/>
              <w:left w:val="nil"/>
              <w:bottom w:val="nil"/>
              <w:right w:val="nil"/>
            </w:tcBorders>
            <w:shd w:val="clear" w:color="auto" w:fill="auto"/>
            <w:noWrap/>
            <w:vAlign w:val="bottom"/>
            <w:hideMark/>
          </w:tcPr>
          <w:p w14:paraId="7AA56024" w14:textId="77777777" w:rsidR="00965A3C" w:rsidRPr="00444014" w:rsidRDefault="00965A3C" w:rsidP="002C2583">
            <w:pPr>
              <w:widowControl/>
              <w:autoSpaceDE/>
              <w:autoSpaceDN/>
              <w:adjustRightInd/>
              <w:jc w:val="right"/>
              <w:rPr>
                <w:color w:val="000000"/>
              </w:rPr>
            </w:pPr>
            <w:r w:rsidRPr="00444014">
              <w:rPr>
                <w:color w:val="000000"/>
              </w:rPr>
              <w:t xml:space="preserve"> 137,021 </w:t>
            </w:r>
          </w:p>
        </w:tc>
        <w:tc>
          <w:tcPr>
            <w:tcW w:w="1710" w:type="dxa"/>
            <w:tcBorders>
              <w:top w:val="nil"/>
              <w:left w:val="nil"/>
              <w:bottom w:val="nil"/>
              <w:right w:val="nil"/>
            </w:tcBorders>
            <w:shd w:val="clear" w:color="auto" w:fill="auto"/>
            <w:noWrap/>
            <w:vAlign w:val="bottom"/>
            <w:hideMark/>
          </w:tcPr>
          <w:p w14:paraId="356651CB" w14:textId="77777777" w:rsidR="00965A3C" w:rsidRPr="00444014" w:rsidRDefault="00965A3C" w:rsidP="002C2583">
            <w:pPr>
              <w:widowControl/>
              <w:autoSpaceDE/>
              <w:autoSpaceDN/>
              <w:adjustRightInd/>
              <w:jc w:val="right"/>
              <w:rPr>
                <w:color w:val="000000"/>
              </w:rPr>
            </w:pPr>
            <w:r w:rsidRPr="00444014">
              <w:rPr>
                <w:color w:val="000000"/>
              </w:rPr>
              <w:t>$21.57</w:t>
            </w:r>
          </w:p>
        </w:tc>
        <w:tc>
          <w:tcPr>
            <w:tcW w:w="1600" w:type="dxa"/>
            <w:tcBorders>
              <w:top w:val="nil"/>
              <w:left w:val="nil"/>
              <w:bottom w:val="nil"/>
              <w:right w:val="nil"/>
            </w:tcBorders>
            <w:shd w:val="clear" w:color="auto" w:fill="auto"/>
            <w:noWrap/>
            <w:vAlign w:val="bottom"/>
            <w:hideMark/>
          </w:tcPr>
          <w:p w14:paraId="315CB762" w14:textId="77777777" w:rsidR="00965A3C" w:rsidRPr="00444014" w:rsidRDefault="00965A3C" w:rsidP="002C2583">
            <w:pPr>
              <w:widowControl/>
              <w:autoSpaceDE/>
              <w:autoSpaceDN/>
              <w:adjustRightInd/>
              <w:jc w:val="right"/>
              <w:rPr>
                <w:color w:val="000000"/>
              </w:rPr>
            </w:pPr>
            <w:r w:rsidRPr="00444014">
              <w:rPr>
                <w:color w:val="000000"/>
              </w:rPr>
              <w:t>$2,955,543</w:t>
            </w:r>
          </w:p>
        </w:tc>
        <w:tc>
          <w:tcPr>
            <w:tcW w:w="260" w:type="dxa"/>
            <w:tcBorders>
              <w:top w:val="nil"/>
              <w:left w:val="nil"/>
              <w:bottom w:val="nil"/>
              <w:right w:val="single" w:sz="8" w:space="0" w:color="auto"/>
            </w:tcBorders>
            <w:shd w:val="clear" w:color="auto" w:fill="auto"/>
            <w:noWrap/>
            <w:vAlign w:val="bottom"/>
            <w:hideMark/>
          </w:tcPr>
          <w:p w14:paraId="4CF3EDE3" w14:textId="77777777" w:rsidR="00965A3C" w:rsidRPr="00444014" w:rsidRDefault="00965A3C" w:rsidP="002C2583">
            <w:pPr>
              <w:widowControl/>
              <w:autoSpaceDE/>
              <w:autoSpaceDN/>
              <w:adjustRightInd/>
              <w:rPr>
                <w:color w:val="000000"/>
              </w:rPr>
            </w:pPr>
            <w:r w:rsidRPr="00444014">
              <w:rPr>
                <w:color w:val="000000"/>
              </w:rPr>
              <w:t> </w:t>
            </w:r>
          </w:p>
        </w:tc>
      </w:tr>
      <w:tr w:rsidR="00965A3C" w:rsidRPr="00444014" w14:paraId="4C4FB658" w14:textId="77777777" w:rsidTr="00965A3C">
        <w:trPr>
          <w:trHeight w:val="440"/>
          <w:jc w:val="center"/>
        </w:trPr>
        <w:tc>
          <w:tcPr>
            <w:tcW w:w="236" w:type="dxa"/>
            <w:tcBorders>
              <w:top w:val="nil"/>
              <w:left w:val="single" w:sz="8" w:space="0" w:color="auto"/>
              <w:bottom w:val="nil"/>
              <w:right w:val="nil"/>
            </w:tcBorders>
            <w:shd w:val="clear" w:color="auto" w:fill="auto"/>
            <w:noWrap/>
            <w:vAlign w:val="bottom"/>
            <w:hideMark/>
          </w:tcPr>
          <w:p w14:paraId="4537F582" w14:textId="77777777" w:rsidR="00965A3C" w:rsidRPr="00444014" w:rsidRDefault="00965A3C" w:rsidP="002C2583">
            <w:pPr>
              <w:widowControl/>
              <w:autoSpaceDE/>
              <w:autoSpaceDN/>
              <w:adjustRightInd/>
              <w:rPr>
                <w:color w:val="000000"/>
              </w:rPr>
            </w:pPr>
            <w:r w:rsidRPr="00444014">
              <w:rPr>
                <w:color w:val="000000"/>
              </w:rPr>
              <w:t> </w:t>
            </w:r>
          </w:p>
        </w:tc>
        <w:tc>
          <w:tcPr>
            <w:tcW w:w="3339" w:type="dxa"/>
            <w:tcBorders>
              <w:top w:val="nil"/>
              <w:left w:val="nil"/>
              <w:bottom w:val="nil"/>
              <w:right w:val="nil"/>
            </w:tcBorders>
            <w:shd w:val="clear" w:color="auto" w:fill="auto"/>
            <w:noWrap/>
            <w:vAlign w:val="bottom"/>
            <w:hideMark/>
          </w:tcPr>
          <w:p w14:paraId="0ED24CC7" w14:textId="77777777" w:rsidR="00965A3C" w:rsidRPr="00444014" w:rsidRDefault="00965A3C" w:rsidP="002C2583">
            <w:pPr>
              <w:widowControl/>
              <w:autoSpaceDE/>
              <w:autoSpaceDN/>
              <w:adjustRightInd/>
              <w:rPr>
                <w:color w:val="000000"/>
              </w:rPr>
            </w:pPr>
            <w:r w:rsidRPr="00444014">
              <w:rPr>
                <w:color w:val="000000"/>
              </w:rPr>
              <w:t>Connecticut Supplier Customers</w:t>
            </w:r>
          </w:p>
        </w:tc>
        <w:tc>
          <w:tcPr>
            <w:tcW w:w="1393" w:type="dxa"/>
            <w:tcBorders>
              <w:top w:val="nil"/>
              <w:left w:val="nil"/>
              <w:bottom w:val="nil"/>
              <w:right w:val="nil"/>
            </w:tcBorders>
            <w:shd w:val="clear" w:color="auto" w:fill="auto"/>
            <w:noWrap/>
            <w:vAlign w:val="bottom"/>
            <w:hideMark/>
          </w:tcPr>
          <w:p w14:paraId="34D82BE3" w14:textId="77777777" w:rsidR="00965A3C" w:rsidRPr="00444014" w:rsidRDefault="00965A3C" w:rsidP="002C2583">
            <w:pPr>
              <w:widowControl/>
              <w:autoSpaceDE/>
              <w:autoSpaceDN/>
              <w:adjustRightInd/>
              <w:jc w:val="right"/>
              <w:rPr>
                <w:color w:val="000000"/>
              </w:rPr>
            </w:pPr>
            <w:r w:rsidRPr="00444014">
              <w:rPr>
                <w:color w:val="000000"/>
              </w:rPr>
              <w:t xml:space="preserve"> 586,048 </w:t>
            </w:r>
          </w:p>
        </w:tc>
        <w:tc>
          <w:tcPr>
            <w:tcW w:w="1710" w:type="dxa"/>
            <w:tcBorders>
              <w:top w:val="nil"/>
              <w:left w:val="nil"/>
              <w:bottom w:val="nil"/>
              <w:right w:val="nil"/>
            </w:tcBorders>
            <w:shd w:val="clear" w:color="auto" w:fill="auto"/>
            <w:noWrap/>
            <w:vAlign w:val="bottom"/>
            <w:hideMark/>
          </w:tcPr>
          <w:p w14:paraId="641862C7" w14:textId="77777777" w:rsidR="00965A3C" w:rsidRPr="00444014" w:rsidRDefault="00965A3C" w:rsidP="002C2583">
            <w:pPr>
              <w:widowControl/>
              <w:autoSpaceDE/>
              <w:autoSpaceDN/>
              <w:adjustRightInd/>
              <w:ind w:firstLineChars="700" w:firstLine="1680"/>
              <w:rPr>
                <w:color w:val="000000"/>
              </w:rPr>
            </w:pPr>
          </w:p>
        </w:tc>
        <w:tc>
          <w:tcPr>
            <w:tcW w:w="1600" w:type="dxa"/>
            <w:tcBorders>
              <w:top w:val="nil"/>
              <w:left w:val="nil"/>
              <w:bottom w:val="nil"/>
              <w:right w:val="nil"/>
            </w:tcBorders>
            <w:shd w:val="clear" w:color="auto" w:fill="auto"/>
            <w:noWrap/>
            <w:vAlign w:val="bottom"/>
            <w:hideMark/>
          </w:tcPr>
          <w:p w14:paraId="169258CB" w14:textId="77777777" w:rsidR="00965A3C" w:rsidRPr="00444014" w:rsidRDefault="00965A3C" w:rsidP="002C2583">
            <w:pPr>
              <w:widowControl/>
              <w:autoSpaceDE/>
              <w:autoSpaceDN/>
              <w:adjustRightInd/>
              <w:jc w:val="right"/>
              <w:rPr>
                <w:color w:val="000000"/>
              </w:rPr>
            </w:pPr>
            <w:r w:rsidRPr="00444014">
              <w:rPr>
                <w:color w:val="000000"/>
              </w:rPr>
              <w:t>$13,700,759</w:t>
            </w:r>
          </w:p>
        </w:tc>
        <w:tc>
          <w:tcPr>
            <w:tcW w:w="260" w:type="dxa"/>
            <w:tcBorders>
              <w:top w:val="nil"/>
              <w:left w:val="nil"/>
              <w:bottom w:val="nil"/>
              <w:right w:val="single" w:sz="8" w:space="0" w:color="auto"/>
            </w:tcBorders>
            <w:shd w:val="clear" w:color="auto" w:fill="auto"/>
            <w:noWrap/>
            <w:vAlign w:val="bottom"/>
            <w:hideMark/>
          </w:tcPr>
          <w:p w14:paraId="076517D3" w14:textId="77777777" w:rsidR="00965A3C" w:rsidRPr="00444014" w:rsidRDefault="00965A3C" w:rsidP="002C2583">
            <w:pPr>
              <w:widowControl/>
              <w:autoSpaceDE/>
              <w:autoSpaceDN/>
              <w:adjustRightInd/>
              <w:rPr>
                <w:color w:val="000000"/>
              </w:rPr>
            </w:pPr>
            <w:r w:rsidRPr="00444014">
              <w:rPr>
                <w:color w:val="000000"/>
              </w:rPr>
              <w:t> </w:t>
            </w:r>
          </w:p>
        </w:tc>
      </w:tr>
      <w:tr w:rsidR="00965A3C" w:rsidRPr="00444014" w14:paraId="1CF18587" w14:textId="77777777" w:rsidTr="00965A3C">
        <w:trPr>
          <w:trHeight w:val="320"/>
          <w:jc w:val="center"/>
        </w:trPr>
        <w:tc>
          <w:tcPr>
            <w:tcW w:w="236" w:type="dxa"/>
            <w:tcBorders>
              <w:top w:val="nil"/>
              <w:left w:val="single" w:sz="8" w:space="0" w:color="auto"/>
              <w:bottom w:val="single" w:sz="8" w:space="0" w:color="auto"/>
              <w:right w:val="nil"/>
            </w:tcBorders>
            <w:shd w:val="clear" w:color="auto" w:fill="auto"/>
            <w:noWrap/>
            <w:vAlign w:val="bottom"/>
            <w:hideMark/>
          </w:tcPr>
          <w:p w14:paraId="29132CC1" w14:textId="77777777" w:rsidR="00965A3C" w:rsidRPr="00444014" w:rsidRDefault="00965A3C" w:rsidP="002C2583">
            <w:pPr>
              <w:widowControl/>
              <w:autoSpaceDE/>
              <w:autoSpaceDN/>
              <w:adjustRightInd/>
              <w:rPr>
                <w:color w:val="000000"/>
              </w:rPr>
            </w:pPr>
            <w:r w:rsidRPr="00444014">
              <w:rPr>
                <w:color w:val="000000"/>
              </w:rPr>
              <w:t> </w:t>
            </w:r>
          </w:p>
        </w:tc>
        <w:tc>
          <w:tcPr>
            <w:tcW w:w="3339" w:type="dxa"/>
            <w:tcBorders>
              <w:top w:val="nil"/>
              <w:left w:val="nil"/>
              <w:bottom w:val="single" w:sz="8" w:space="0" w:color="auto"/>
              <w:right w:val="nil"/>
            </w:tcBorders>
            <w:shd w:val="clear" w:color="auto" w:fill="auto"/>
            <w:noWrap/>
            <w:vAlign w:val="bottom"/>
            <w:hideMark/>
          </w:tcPr>
          <w:p w14:paraId="5FA8B955" w14:textId="77777777" w:rsidR="00965A3C" w:rsidRPr="00444014" w:rsidRDefault="00965A3C" w:rsidP="002C2583">
            <w:pPr>
              <w:widowControl/>
              <w:autoSpaceDE/>
              <w:autoSpaceDN/>
              <w:adjustRightInd/>
              <w:rPr>
                <w:color w:val="000000"/>
              </w:rPr>
            </w:pPr>
            <w:r w:rsidRPr="00444014">
              <w:rPr>
                <w:color w:val="000000"/>
              </w:rPr>
              <w:t> </w:t>
            </w:r>
          </w:p>
        </w:tc>
        <w:tc>
          <w:tcPr>
            <w:tcW w:w="1393" w:type="dxa"/>
            <w:tcBorders>
              <w:top w:val="nil"/>
              <w:left w:val="nil"/>
              <w:bottom w:val="single" w:sz="8" w:space="0" w:color="auto"/>
              <w:right w:val="nil"/>
            </w:tcBorders>
            <w:shd w:val="clear" w:color="auto" w:fill="auto"/>
            <w:noWrap/>
            <w:vAlign w:val="bottom"/>
            <w:hideMark/>
          </w:tcPr>
          <w:p w14:paraId="66DAEE2F" w14:textId="77777777" w:rsidR="00965A3C" w:rsidRPr="00444014" w:rsidRDefault="00965A3C" w:rsidP="002C2583">
            <w:pPr>
              <w:widowControl/>
              <w:autoSpaceDE/>
              <w:autoSpaceDN/>
              <w:adjustRightInd/>
              <w:rPr>
                <w:color w:val="000000"/>
              </w:rPr>
            </w:pPr>
            <w:r w:rsidRPr="00444014">
              <w:rPr>
                <w:color w:val="000000"/>
              </w:rPr>
              <w:t> </w:t>
            </w:r>
          </w:p>
        </w:tc>
        <w:tc>
          <w:tcPr>
            <w:tcW w:w="1710" w:type="dxa"/>
            <w:tcBorders>
              <w:top w:val="nil"/>
              <w:left w:val="nil"/>
              <w:bottom w:val="single" w:sz="8" w:space="0" w:color="auto"/>
              <w:right w:val="nil"/>
            </w:tcBorders>
            <w:shd w:val="clear" w:color="auto" w:fill="auto"/>
            <w:noWrap/>
            <w:vAlign w:val="bottom"/>
            <w:hideMark/>
          </w:tcPr>
          <w:p w14:paraId="77F06806" w14:textId="77777777" w:rsidR="00965A3C" w:rsidRPr="00444014" w:rsidRDefault="00965A3C" w:rsidP="002C2583">
            <w:pPr>
              <w:widowControl/>
              <w:autoSpaceDE/>
              <w:autoSpaceDN/>
              <w:adjustRightInd/>
              <w:rPr>
                <w:color w:val="000000"/>
              </w:rPr>
            </w:pPr>
            <w:r w:rsidRPr="00444014">
              <w:rPr>
                <w:color w:val="000000"/>
              </w:rPr>
              <w:t> </w:t>
            </w:r>
          </w:p>
        </w:tc>
        <w:tc>
          <w:tcPr>
            <w:tcW w:w="1600" w:type="dxa"/>
            <w:tcBorders>
              <w:top w:val="nil"/>
              <w:left w:val="nil"/>
              <w:bottom w:val="single" w:sz="8" w:space="0" w:color="auto"/>
              <w:right w:val="nil"/>
            </w:tcBorders>
            <w:shd w:val="clear" w:color="auto" w:fill="auto"/>
            <w:noWrap/>
            <w:vAlign w:val="bottom"/>
            <w:hideMark/>
          </w:tcPr>
          <w:p w14:paraId="5CD39E0C" w14:textId="77777777" w:rsidR="00965A3C" w:rsidRPr="00444014" w:rsidRDefault="00965A3C" w:rsidP="002C2583">
            <w:pPr>
              <w:widowControl/>
              <w:autoSpaceDE/>
              <w:autoSpaceDN/>
              <w:adjustRightInd/>
              <w:rPr>
                <w:color w:val="000000"/>
              </w:rPr>
            </w:pPr>
            <w:r w:rsidRPr="00444014">
              <w:rPr>
                <w:color w:val="000000"/>
              </w:rPr>
              <w:t> </w:t>
            </w:r>
          </w:p>
        </w:tc>
        <w:tc>
          <w:tcPr>
            <w:tcW w:w="260" w:type="dxa"/>
            <w:tcBorders>
              <w:top w:val="nil"/>
              <w:left w:val="nil"/>
              <w:bottom w:val="single" w:sz="8" w:space="0" w:color="auto"/>
              <w:right w:val="single" w:sz="8" w:space="0" w:color="auto"/>
            </w:tcBorders>
            <w:shd w:val="clear" w:color="auto" w:fill="auto"/>
            <w:noWrap/>
            <w:vAlign w:val="bottom"/>
            <w:hideMark/>
          </w:tcPr>
          <w:p w14:paraId="3D63138B" w14:textId="77777777" w:rsidR="00965A3C" w:rsidRPr="00444014" w:rsidRDefault="00965A3C" w:rsidP="002C2583">
            <w:pPr>
              <w:widowControl/>
              <w:autoSpaceDE/>
              <w:autoSpaceDN/>
              <w:adjustRightInd/>
              <w:rPr>
                <w:color w:val="000000"/>
              </w:rPr>
            </w:pPr>
            <w:r w:rsidRPr="00444014">
              <w:rPr>
                <w:color w:val="000000"/>
              </w:rPr>
              <w:t> </w:t>
            </w:r>
          </w:p>
        </w:tc>
      </w:tr>
    </w:tbl>
    <w:p w14:paraId="789C5133" w14:textId="77777777" w:rsidR="002833DC" w:rsidRDefault="002833DC" w:rsidP="002C2583">
      <w:pPr>
        <w:spacing w:line="480" w:lineRule="auto"/>
        <w:ind w:right="720"/>
        <w:rPr>
          <w:b/>
        </w:rPr>
      </w:pPr>
    </w:p>
    <w:p w14:paraId="1FE40478" w14:textId="77777777" w:rsidR="00A005B7" w:rsidRDefault="00A005B7" w:rsidP="002C2583">
      <w:pPr>
        <w:spacing w:line="480" w:lineRule="auto"/>
        <w:ind w:right="720"/>
        <w:rPr>
          <w:b/>
        </w:rPr>
      </w:pPr>
      <w:r>
        <w:rPr>
          <w:b/>
        </w:rPr>
        <w:t>Q:</w:t>
      </w:r>
      <w:r>
        <w:rPr>
          <w:b/>
        </w:rPr>
        <w:tab/>
        <w:t>What do you conclude based on your analysis of pricing data?</w:t>
      </w:r>
    </w:p>
    <w:p w14:paraId="098C3BA6" w14:textId="77777777" w:rsidR="00D60228" w:rsidRDefault="00A005B7" w:rsidP="002C2583">
      <w:pPr>
        <w:spacing w:line="480" w:lineRule="auto"/>
        <w:ind w:left="720" w:right="720" w:hanging="720"/>
      </w:pPr>
      <w:r w:rsidRPr="0060551B">
        <w:t>A:</w:t>
      </w:r>
      <w:r w:rsidRPr="0060551B">
        <w:tab/>
      </w:r>
      <w:r>
        <w:t xml:space="preserve">Almost half of a million </w:t>
      </w:r>
      <w:r w:rsidRPr="0060551B">
        <w:t xml:space="preserve">customers </w:t>
      </w:r>
      <w:r>
        <w:t xml:space="preserve">are </w:t>
      </w:r>
      <w:r w:rsidRPr="0060551B">
        <w:t xml:space="preserve">paying </w:t>
      </w:r>
      <w:r>
        <w:t xml:space="preserve">above the standard rate for electricity (383,763 customers in CL&amp;P territory and 95,398 customers in UI territory) in Connecticut.  It is not clear that they (or consumers on </w:t>
      </w:r>
      <w:r w:rsidR="00BA380F">
        <w:t>average</w:t>
      </w:r>
      <w:r>
        <w:t xml:space="preserve">) are </w:t>
      </w:r>
      <w:r w:rsidRPr="0060551B">
        <w:t xml:space="preserve">benefiting from </w:t>
      </w:r>
      <w:r w:rsidR="00BA380F">
        <w:t>the retail supply market</w:t>
      </w:r>
      <w:r w:rsidRPr="0060551B">
        <w:t xml:space="preserve">.   </w:t>
      </w:r>
    </w:p>
    <w:p w14:paraId="63D910CA" w14:textId="77777777" w:rsidR="00866868" w:rsidRDefault="00866868" w:rsidP="002C2583">
      <w:pPr>
        <w:spacing w:line="480" w:lineRule="auto"/>
        <w:ind w:left="720" w:right="720" w:hanging="720"/>
      </w:pPr>
      <w:r>
        <w:rPr>
          <w:b/>
        </w:rPr>
        <w:t>Q:</w:t>
      </w:r>
      <w:r>
        <w:rPr>
          <w:b/>
        </w:rPr>
        <w:tab/>
        <w:t>Have you compared the</w:t>
      </w:r>
      <w:r w:rsidR="00A93FF2">
        <w:rPr>
          <w:b/>
        </w:rPr>
        <w:t xml:space="preserve"> Supplier</w:t>
      </w:r>
      <w:r>
        <w:rPr>
          <w:b/>
        </w:rPr>
        <w:t>s about which consumers are complaining (based on your analysis in Section III) and the</w:t>
      </w:r>
      <w:r w:rsidR="00A93FF2">
        <w:rPr>
          <w:b/>
        </w:rPr>
        <w:t xml:space="preserve"> Supplier</w:t>
      </w:r>
      <w:r>
        <w:rPr>
          <w:b/>
        </w:rPr>
        <w:t>s with above-average prices?</w:t>
      </w:r>
    </w:p>
    <w:p w14:paraId="19660C26" w14:textId="77777777" w:rsidR="006A6E77" w:rsidRDefault="00F72542" w:rsidP="002C2583">
      <w:pPr>
        <w:spacing w:line="480" w:lineRule="auto"/>
        <w:ind w:left="720" w:right="720" w:hanging="720"/>
      </w:pPr>
      <w:r>
        <w:t>A:</w:t>
      </w:r>
      <w:r>
        <w:tab/>
        <w:t xml:space="preserve">Yes. </w:t>
      </w:r>
      <w:r w:rsidR="00DD3735">
        <w:t xml:space="preserve"> </w:t>
      </w:r>
      <w:r w:rsidR="00EF0A1E">
        <w:t>We</w:t>
      </w:r>
      <w:r w:rsidR="00D60228">
        <w:t xml:space="preserve"> provide a </w:t>
      </w:r>
      <w:r w:rsidR="00866AA6">
        <w:t>summary table</w:t>
      </w:r>
      <w:r w:rsidR="00D60228">
        <w:t xml:space="preserve"> below.  </w:t>
      </w:r>
      <w:r w:rsidR="00A85490">
        <w:t>Confidential Table C-</w:t>
      </w:r>
      <w:r w:rsidR="0055710F">
        <w:t>20</w:t>
      </w:r>
      <w:r w:rsidR="00866AA6">
        <w:t xml:space="preserve"> indicates, for each</w:t>
      </w:r>
      <w:r w:rsidR="00A93FF2">
        <w:t xml:space="preserve"> Supplier</w:t>
      </w:r>
      <w:r w:rsidR="00866AA6">
        <w:t>, whether the Complaint Ratio was .99 or above and how the</w:t>
      </w:r>
      <w:r w:rsidR="00A93FF2">
        <w:t xml:space="preserve"> Supplier</w:t>
      </w:r>
      <w:r w:rsidR="005C45F6">
        <w:t xml:space="preserve">’s </w:t>
      </w:r>
      <w:r w:rsidR="00866AA6">
        <w:t>weighted average rates compared to CL&amp;P and UI’s rates</w:t>
      </w:r>
      <w:r w:rsidR="005C45F6">
        <w:t xml:space="preserve"> during the time period</w:t>
      </w:r>
      <w:r w:rsidR="008B6DBC">
        <w:t xml:space="preserve"> we </w:t>
      </w:r>
      <w:r w:rsidR="005C45F6">
        <w:t>analyzed</w:t>
      </w:r>
      <w:r w:rsidR="00866AA6">
        <w:t xml:space="preserve">.  </w:t>
      </w:r>
      <w:r w:rsidR="00CD740B">
        <w:t xml:space="preserve">Recall that the Complaint Ratio is a measure of how the total percentage of all customer complaints </w:t>
      </w:r>
      <w:r w:rsidR="00EB0EF2">
        <w:t>compares to the total percentage of customers served for a given</w:t>
      </w:r>
      <w:r w:rsidR="00A93FF2">
        <w:t xml:space="preserve"> Supplier</w:t>
      </w:r>
      <w:r w:rsidR="00EB0EF2">
        <w:t xml:space="preserve"> compare (</w:t>
      </w:r>
      <w:r w:rsidR="00EB0EF2" w:rsidRPr="00EB0EF2">
        <w:rPr>
          <w:i/>
        </w:rPr>
        <w:t>i.e.</w:t>
      </w:r>
      <w:r w:rsidR="00D36D19">
        <w:rPr>
          <w:i/>
        </w:rPr>
        <w:t>,</w:t>
      </w:r>
      <w:r w:rsidR="00EB0EF2">
        <w:t xml:space="preserve"> a measure of whether the</w:t>
      </w:r>
      <w:r w:rsidR="00A93FF2">
        <w:t xml:space="preserve"> Supplier</w:t>
      </w:r>
      <w:r w:rsidR="00EB0EF2">
        <w:t xml:space="preserve"> have a disproportionate number of customer complaints given the number of customers it serves).  </w:t>
      </w:r>
    </w:p>
    <w:p w14:paraId="7AECBD75" w14:textId="77777777" w:rsidR="00866AA6" w:rsidRDefault="00CC6305" w:rsidP="002C2583">
      <w:pPr>
        <w:keepNext/>
        <w:keepLines/>
        <w:ind w:left="720" w:right="720" w:hanging="720"/>
        <w:jc w:val="center"/>
        <w:rPr>
          <w:b/>
        </w:rPr>
      </w:pPr>
      <w:r>
        <w:rPr>
          <w:b/>
        </w:rPr>
        <w:t xml:space="preserve">Confidential </w:t>
      </w:r>
      <w:r w:rsidR="00866AA6">
        <w:rPr>
          <w:b/>
        </w:rPr>
        <w:t xml:space="preserve">Table </w:t>
      </w:r>
      <w:r w:rsidR="0055710F">
        <w:rPr>
          <w:b/>
        </w:rPr>
        <w:t>C-20</w:t>
      </w:r>
    </w:p>
    <w:p w14:paraId="672D1F6C" w14:textId="77777777" w:rsidR="00866AA6" w:rsidRDefault="00866AA6" w:rsidP="002C2583">
      <w:pPr>
        <w:keepNext/>
        <w:keepLines/>
        <w:ind w:left="720" w:right="720" w:hanging="720"/>
        <w:jc w:val="center"/>
        <w:rPr>
          <w:b/>
        </w:rPr>
      </w:pPr>
      <w:r>
        <w:rPr>
          <w:b/>
        </w:rPr>
        <w:t>Summary of Complaint and Pricing Data by Supplier</w:t>
      </w:r>
    </w:p>
    <w:p w14:paraId="491B5E0E" w14:textId="77777777" w:rsidR="00CD740B" w:rsidRDefault="00CD740B" w:rsidP="002C2583">
      <w:pPr>
        <w:keepNext/>
        <w:keepLines/>
        <w:ind w:left="720" w:right="720" w:hanging="720"/>
        <w:jc w:val="center"/>
        <w:rPr>
          <w:b/>
        </w:rPr>
      </w:pPr>
    </w:p>
    <w:p w14:paraId="39F42789" w14:textId="77777777" w:rsidR="00866AA6" w:rsidRDefault="00866AA6" w:rsidP="002C2583">
      <w:pPr>
        <w:keepNext/>
        <w:keepLines/>
        <w:ind w:left="720" w:right="720" w:hanging="720"/>
        <w:rPr>
          <w:b/>
        </w:rPr>
      </w:pPr>
      <w:r>
        <w:rPr>
          <w:b/>
        </w:rPr>
        <w:t>&lt;&lt;BEGIN CONFIDENTIAL</w:t>
      </w:r>
    </w:p>
    <w:tbl>
      <w:tblPr>
        <w:tblW w:w="8842" w:type="dxa"/>
        <w:jc w:val="center"/>
        <w:tblLook w:val="04A0" w:firstRow="1" w:lastRow="0" w:firstColumn="1" w:lastColumn="0" w:noHBand="0" w:noVBand="1"/>
      </w:tblPr>
      <w:tblGrid>
        <w:gridCol w:w="3266"/>
        <w:gridCol w:w="1423"/>
        <w:gridCol w:w="2224"/>
        <w:gridCol w:w="1929"/>
      </w:tblGrid>
      <w:tr w:rsidR="00866AA6" w:rsidRPr="00866AA6" w14:paraId="0AA00B2D" w14:textId="77777777" w:rsidTr="00355526">
        <w:trPr>
          <w:trHeight w:val="736"/>
          <w:jc w:val="center"/>
        </w:trPr>
        <w:tc>
          <w:tcPr>
            <w:tcW w:w="3266" w:type="dxa"/>
            <w:tcBorders>
              <w:top w:val="single" w:sz="8" w:space="0" w:color="auto"/>
              <w:left w:val="single" w:sz="8" w:space="0" w:color="auto"/>
              <w:bottom w:val="single" w:sz="8" w:space="0" w:color="auto"/>
              <w:right w:val="nil"/>
            </w:tcBorders>
            <w:shd w:val="clear" w:color="auto" w:fill="404040" w:themeFill="text1" w:themeFillTint="BF"/>
            <w:noWrap/>
            <w:vAlign w:val="bottom"/>
          </w:tcPr>
          <w:p w14:paraId="669D948D" w14:textId="45666E4B" w:rsidR="00866AA6" w:rsidRPr="00866AA6" w:rsidRDefault="00866AA6" w:rsidP="002C2583">
            <w:pPr>
              <w:keepNext/>
              <w:keepLines/>
              <w:widowControl/>
              <w:autoSpaceDE/>
              <w:autoSpaceDN/>
              <w:adjustRightInd/>
              <w:rPr>
                <w:color w:val="000000"/>
                <w:sz w:val="18"/>
                <w:szCs w:val="18"/>
              </w:rPr>
            </w:pPr>
          </w:p>
        </w:tc>
        <w:tc>
          <w:tcPr>
            <w:tcW w:w="1423" w:type="dxa"/>
            <w:tcBorders>
              <w:top w:val="single" w:sz="8" w:space="0" w:color="auto"/>
              <w:left w:val="single" w:sz="4" w:space="0" w:color="auto"/>
              <w:bottom w:val="single" w:sz="8" w:space="0" w:color="auto"/>
              <w:right w:val="single" w:sz="4" w:space="0" w:color="auto"/>
            </w:tcBorders>
            <w:shd w:val="clear" w:color="auto" w:fill="404040" w:themeFill="text1" w:themeFillTint="BF"/>
            <w:vAlign w:val="center"/>
          </w:tcPr>
          <w:p w14:paraId="4658C0A3" w14:textId="4FAD4615" w:rsidR="00866AA6" w:rsidRPr="00866AA6" w:rsidRDefault="00866AA6" w:rsidP="002C2583">
            <w:pPr>
              <w:keepNext/>
              <w:keepLines/>
              <w:widowControl/>
              <w:autoSpaceDE/>
              <w:autoSpaceDN/>
              <w:adjustRightInd/>
              <w:jc w:val="center"/>
              <w:rPr>
                <w:b/>
                <w:bCs/>
                <w:color w:val="000000"/>
                <w:sz w:val="18"/>
                <w:szCs w:val="18"/>
              </w:rPr>
            </w:pPr>
          </w:p>
        </w:tc>
        <w:tc>
          <w:tcPr>
            <w:tcW w:w="2224" w:type="dxa"/>
            <w:tcBorders>
              <w:top w:val="single" w:sz="8" w:space="0" w:color="auto"/>
              <w:left w:val="nil"/>
              <w:bottom w:val="single" w:sz="8" w:space="0" w:color="auto"/>
              <w:right w:val="single" w:sz="4" w:space="0" w:color="auto"/>
            </w:tcBorders>
            <w:shd w:val="clear" w:color="auto" w:fill="404040" w:themeFill="text1" w:themeFillTint="BF"/>
            <w:vAlign w:val="center"/>
          </w:tcPr>
          <w:p w14:paraId="55E2F7C4" w14:textId="13200D5C" w:rsidR="00866AA6" w:rsidRPr="00866AA6" w:rsidRDefault="00866AA6" w:rsidP="002C2583">
            <w:pPr>
              <w:keepNext/>
              <w:keepLines/>
              <w:widowControl/>
              <w:autoSpaceDE/>
              <w:autoSpaceDN/>
              <w:adjustRightInd/>
              <w:jc w:val="center"/>
              <w:rPr>
                <w:b/>
                <w:bCs/>
                <w:color w:val="000000"/>
                <w:sz w:val="18"/>
                <w:szCs w:val="18"/>
              </w:rPr>
            </w:pPr>
          </w:p>
        </w:tc>
        <w:tc>
          <w:tcPr>
            <w:tcW w:w="1929" w:type="dxa"/>
            <w:tcBorders>
              <w:top w:val="single" w:sz="8" w:space="0" w:color="auto"/>
              <w:left w:val="nil"/>
              <w:bottom w:val="single" w:sz="8" w:space="0" w:color="auto"/>
              <w:right w:val="single" w:sz="8" w:space="0" w:color="auto"/>
            </w:tcBorders>
            <w:shd w:val="clear" w:color="auto" w:fill="404040" w:themeFill="text1" w:themeFillTint="BF"/>
            <w:vAlign w:val="center"/>
          </w:tcPr>
          <w:p w14:paraId="7F481023" w14:textId="6EC83ED9" w:rsidR="00866AA6" w:rsidRPr="00866AA6" w:rsidRDefault="00866AA6" w:rsidP="002C2583">
            <w:pPr>
              <w:keepNext/>
              <w:keepLines/>
              <w:widowControl/>
              <w:autoSpaceDE/>
              <w:autoSpaceDN/>
              <w:adjustRightInd/>
              <w:jc w:val="center"/>
              <w:rPr>
                <w:b/>
                <w:bCs/>
                <w:color w:val="000000"/>
                <w:sz w:val="18"/>
                <w:szCs w:val="18"/>
              </w:rPr>
            </w:pPr>
          </w:p>
        </w:tc>
      </w:tr>
      <w:tr w:rsidR="00866AA6" w:rsidRPr="00866AA6" w14:paraId="6FE01E9C"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38D96596" w14:textId="34E2912D" w:rsidR="00866AA6" w:rsidRPr="00CD740B" w:rsidRDefault="00866AA6"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071AF3BA" w14:textId="77777777" w:rsidR="00866AA6" w:rsidRPr="00866AA6" w:rsidRDefault="00866AA6"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3004DDF2" w14:textId="33A0A4E4" w:rsidR="00866AA6" w:rsidRPr="00866AA6" w:rsidRDefault="00866AA6"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5C3494E" w14:textId="05A204D9" w:rsidR="00866AA6" w:rsidRPr="00866AA6" w:rsidRDefault="00866AA6" w:rsidP="002C2583">
            <w:pPr>
              <w:keepNext/>
              <w:keepLines/>
              <w:widowControl/>
              <w:autoSpaceDE/>
              <w:autoSpaceDN/>
              <w:adjustRightInd/>
              <w:jc w:val="center"/>
              <w:rPr>
                <w:color w:val="000000"/>
                <w:sz w:val="18"/>
                <w:szCs w:val="18"/>
              </w:rPr>
            </w:pPr>
          </w:p>
        </w:tc>
      </w:tr>
      <w:tr w:rsidR="00866AA6" w:rsidRPr="00866AA6" w14:paraId="7ACEE463"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04032862" w14:textId="75017ABC" w:rsidR="00866AA6" w:rsidRPr="00CD740B" w:rsidRDefault="00866AA6"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0830E5B0" w14:textId="77777777" w:rsidR="00866AA6" w:rsidRPr="00866AA6" w:rsidRDefault="00866AA6"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56E8393F" w14:textId="51884D12" w:rsidR="00866AA6" w:rsidRPr="00866AA6" w:rsidRDefault="00866AA6"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5E91B73" w14:textId="72E836B9" w:rsidR="00866AA6" w:rsidRPr="00866AA6" w:rsidRDefault="00866AA6" w:rsidP="002C2583">
            <w:pPr>
              <w:keepNext/>
              <w:keepLines/>
              <w:widowControl/>
              <w:autoSpaceDE/>
              <w:autoSpaceDN/>
              <w:adjustRightInd/>
              <w:jc w:val="center"/>
              <w:rPr>
                <w:color w:val="000000"/>
                <w:sz w:val="18"/>
                <w:szCs w:val="18"/>
              </w:rPr>
            </w:pPr>
          </w:p>
        </w:tc>
      </w:tr>
      <w:tr w:rsidR="00CD740B" w:rsidRPr="00866AA6" w14:paraId="188D94A8"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6E1CB375" w14:textId="0AA4C37F"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5E1D7554" w14:textId="760721B3"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2B2B1206" w14:textId="10CF2690"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E5F4959" w14:textId="54CE7E46"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3C239158"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0A8CA2CA" w14:textId="6A075756"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504DC3DF" w14:textId="704D8C2C"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52602D75" w14:textId="273D28A8"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EBCCD7A" w14:textId="6DEC8F2A"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02D1592B"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3B8BB682" w14:textId="5CDE353A"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79E57563" w14:textId="25703641"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72D540D6" w14:textId="5E66B665"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7A2544E7" w14:textId="36AE790D"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3C29E474"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345674DA" w14:textId="0DDD184C"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73CDABCE" w14:textId="34FDF642"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34450229" w14:textId="287BEB48"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5670B057" w14:textId="53ACD533"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2385C14F"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2E2E10BB" w14:textId="2B2750BA"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3844A090" w14:textId="777A554D"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3BD08ADB" w14:textId="0CFA401D"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A6BC588" w14:textId="75F9D8AC"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09B82711"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5D55B170" w14:textId="4E919096"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3B85094D" w14:textId="3C16B7AF"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79C2B339" w14:textId="1A68A88C"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3D629342" w14:textId="1E50BCD3"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192FC794"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78BF73B7" w14:textId="07EE9EF1"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63C72AB1" w14:textId="4F4AE98D"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6ABDA1D6" w14:textId="4D519EEE"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07F69145" w14:textId="4164A66E"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4A48E2AB"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5908457E" w14:textId="431ECD3A"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2D5ECC9D" w14:textId="669A28DE"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28DC74B5" w14:textId="022BD515"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C761D25" w14:textId="6854396C"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18E5CB09"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692C85DF" w14:textId="5ECDA5C4"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6C18AE5A" w14:textId="146E194F"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9E59395" w14:textId="09B8DFCB"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75B695C" w14:textId="0FB40F3A"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40793A92"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42AADF3A" w14:textId="3CA865E9"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30428E6F" w14:textId="44DF1153"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45F146A" w14:textId="1F922696"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E9EE30D" w14:textId="125D47A4"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272DE48C"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05C8CC82" w14:textId="353DD5EF"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035A4610" w14:textId="2DD09055"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393E7515" w14:textId="5CBF313B"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C1E72FB" w14:textId="235A5D6F"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16EFF82A"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26A58EC6" w14:textId="25F54043"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38631972" w14:textId="23844FC7"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4CD40A3F" w14:textId="146FE3D6"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7D99F8F0" w14:textId="20450F7D"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19AE56D4"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0F10292B" w14:textId="51530B6E"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7A081C27" w14:textId="787F93B9"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242CF397" w14:textId="75C3ED9D"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6B899F3A" w14:textId="4CAF224E"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7719FA50"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5045C613" w14:textId="5442840B"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1FCCB68C" w14:textId="537896EA"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B83E511" w14:textId="2D5C92CD"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5DF7663C" w14:textId="79EA5219"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319C037E"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3AA4CC32" w14:textId="686C99CD"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5F3A5AD3" w14:textId="21738972"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5CBB477D" w14:textId="5A203A90"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17B26366" w14:textId="16D08F90"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1D19F4FC"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493EBE88" w14:textId="3A70A582"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0720455F" w14:textId="5E77F14B"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7C11F871" w14:textId="46A90D81"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58750A53" w14:textId="295540F0"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2C3D53ED"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07D8316E" w14:textId="43FF1ABF"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0BED0030" w14:textId="7F5D93E1"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1E2CDFE5" w14:textId="6B0D7C11"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3A961F58" w14:textId="0E8A4F36"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7828E8C0"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47C98696" w14:textId="47CCBBFE"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193CFA04" w14:textId="7C8CFCD7"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535036E8" w14:textId="3E667B17"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75738C0" w14:textId="2CB1DC8B"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51A65052"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54760722" w14:textId="5B1EFA3C"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4EFC8715" w14:textId="499102A3"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48D70167" w14:textId="13F2180A"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7B5D9EE9" w14:textId="1454CABB"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05F32957"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74644768" w14:textId="1BA43E8D"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46145705" w14:textId="3104AE6C"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155B2692" w14:textId="215E12D1"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64E37B04" w14:textId="4E72B387"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5C2859A4"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5C859CC3" w14:textId="4C468EA0"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0CDBBA7D" w14:textId="7B3C1D8C"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648DF220" w14:textId="369B348F"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348E8F9D" w14:textId="07006E7C"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754C3B2C"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1303E018" w14:textId="759F2EC9"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16B8A155" w14:textId="54F27C80"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4411FE97" w14:textId="5D6A6005"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0160AFFD" w14:textId="49DA7940"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2425566A"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08870505" w14:textId="18D52DBF"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3ED83D66" w14:textId="4E1F10D2"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8B84ED2" w14:textId="10C0C3AA"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1B47CD2" w14:textId="76D2D19F"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7F5D6A30"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4770D6FB" w14:textId="1712D8D6"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4EF4370C" w14:textId="01683DAD"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9F0955D" w14:textId="0F9FD2D7"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6D9EC7A1" w14:textId="4548A99D"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6732510D"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3DBFB9A2" w14:textId="1CD04420"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7F4161FA" w14:textId="76AB184D"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A58A3C4" w14:textId="511390E9"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058F5812" w14:textId="49154C0E"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61A4B7E4"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105C4780" w14:textId="34BCA03C"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3F2FC2EE" w14:textId="050F3DA5"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2655FE9A" w14:textId="29F05C3C"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C152120" w14:textId="7CD246BB"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3036806A"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072F9BEB" w14:textId="7DFE5E63"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487D4409" w14:textId="619DCE40"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8A7F9EB" w14:textId="37D0D590"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F2B6E62" w14:textId="435BE79A"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02665268"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35E9420B" w14:textId="5D92A71F"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50976A2D" w14:textId="215BE5FC"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5BD11371" w14:textId="71A9FD00"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7EE3C0BF" w14:textId="227806CF"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12BB2C12"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2A740C5D" w14:textId="4ADFCD2B"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410B288D" w14:textId="5AAD7148"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641F6EC1" w14:textId="6333F0E5"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4E8D189" w14:textId="5E224167"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6C62AF6D"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319663F7" w14:textId="04C6BAA1"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7185C1C3" w14:textId="3D15B4D2"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3367372C" w14:textId="45CF4EFA"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19BC6B07" w14:textId="06CEC7B0"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6E9E6558"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20F0D82B" w14:textId="7428C0C7"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52A1AEEE" w14:textId="1B6E5E6A"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1FC0BAFA" w14:textId="2A6FBB3A"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3FD1CC7B" w14:textId="56F259E6"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10969D3C"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4DA2D8EE" w14:textId="7B7AD6D3"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7B68F4F4" w14:textId="01A3943F"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48A3453" w14:textId="5B37AAE2"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4505F50C" w14:textId="5A787BF1"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562770A9"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7D1AD265" w14:textId="1CA04471"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09067776" w14:textId="23BCCA0E"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5821ACA1" w14:textId="68E7E804"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1EE87043" w14:textId="329067B9"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08C3C9AF"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4219F7AF" w14:textId="1B4BEA02" w:rsidR="00CD740B" w:rsidRPr="00CD740B" w:rsidRDefault="00CD740B" w:rsidP="002C2583">
            <w:pPr>
              <w:keepNext/>
              <w:keepLines/>
              <w:widowControl/>
              <w:autoSpaceDE/>
              <w:autoSpaceDN/>
              <w:adjustRightInd/>
              <w:ind w:firstLine="200"/>
              <w:rPr>
                <w:color w:val="000000"/>
                <w:sz w:val="16"/>
                <w:szCs w:val="16"/>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793FCAD0" w14:textId="6D6A1F9E"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1F549064" w14:textId="67BA3402"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0A340581" w14:textId="4B6E7639"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02ED6F1B" w14:textId="77777777" w:rsidTr="00355526">
        <w:trPr>
          <w:trHeight w:val="230"/>
          <w:jc w:val="center"/>
        </w:trPr>
        <w:tc>
          <w:tcPr>
            <w:tcW w:w="3266" w:type="dxa"/>
            <w:tcBorders>
              <w:top w:val="nil"/>
              <w:left w:val="single" w:sz="8" w:space="0" w:color="auto"/>
              <w:bottom w:val="single" w:sz="4" w:space="0" w:color="auto"/>
              <w:right w:val="single" w:sz="4" w:space="0" w:color="auto"/>
            </w:tcBorders>
            <w:shd w:val="clear" w:color="auto" w:fill="404040" w:themeFill="text1" w:themeFillTint="BF"/>
            <w:noWrap/>
            <w:vAlign w:val="bottom"/>
          </w:tcPr>
          <w:p w14:paraId="5A1CEB4E" w14:textId="0363FA3C" w:rsidR="00CD740B" w:rsidRPr="00866AA6" w:rsidRDefault="00CD740B" w:rsidP="002C2583">
            <w:pPr>
              <w:keepNext/>
              <w:keepLines/>
              <w:widowControl/>
              <w:autoSpaceDE/>
              <w:autoSpaceDN/>
              <w:adjustRightInd/>
              <w:ind w:firstLine="200"/>
              <w:rPr>
                <w:color w:val="000000"/>
                <w:sz w:val="18"/>
                <w:szCs w:val="18"/>
              </w:rPr>
            </w:pPr>
          </w:p>
        </w:tc>
        <w:tc>
          <w:tcPr>
            <w:tcW w:w="1423" w:type="dxa"/>
            <w:tcBorders>
              <w:top w:val="nil"/>
              <w:left w:val="nil"/>
              <w:bottom w:val="single" w:sz="4" w:space="0" w:color="auto"/>
              <w:right w:val="single" w:sz="4" w:space="0" w:color="auto"/>
            </w:tcBorders>
            <w:shd w:val="clear" w:color="auto" w:fill="404040" w:themeFill="text1" w:themeFillTint="BF"/>
            <w:noWrap/>
            <w:vAlign w:val="center"/>
          </w:tcPr>
          <w:p w14:paraId="227BFA09" w14:textId="059A16A9"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4" w:space="0" w:color="auto"/>
              <w:right w:val="single" w:sz="4" w:space="0" w:color="auto"/>
            </w:tcBorders>
            <w:shd w:val="clear" w:color="auto" w:fill="404040" w:themeFill="text1" w:themeFillTint="BF"/>
            <w:noWrap/>
            <w:vAlign w:val="center"/>
          </w:tcPr>
          <w:p w14:paraId="0933F7ED" w14:textId="71CAA147"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4" w:space="0" w:color="auto"/>
              <w:right w:val="single" w:sz="8" w:space="0" w:color="auto"/>
            </w:tcBorders>
            <w:shd w:val="clear" w:color="auto" w:fill="404040" w:themeFill="text1" w:themeFillTint="BF"/>
            <w:noWrap/>
            <w:vAlign w:val="center"/>
          </w:tcPr>
          <w:p w14:paraId="29BAEB9B" w14:textId="4A5D2113" w:rsidR="00CD740B" w:rsidRPr="00866AA6" w:rsidRDefault="00CD740B" w:rsidP="002C2583">
            <w:pPr>
              <w:keepNext/>
              <w:keepLines/>
              <w:widowControl/>
              <w:autoSpaceDE/>
              <w:autoSpaceDN/>
              <w:adjustRightInd/>
              <w:jc w:val="center"/>
              <w:rPr>
                <w:color w:val="000000"/>
                <w:sz w:val="18"/>
                <w:szCs w:val="18"/>
              </w:rPr>
            </w:pPr>
          </w:p>
        </w:tc>
      </w:tr>
      <w:tr w:rsidR="00CD740B" w:rsidRPr="00866AA6" w14:paraId="567256AB" w14:textId="77777777" w:rsidTr="00355526">
        <w:trPr>
          <w:trHeight w:val="230"/>
          <w:jc w:val="center"/>
        </w:trPr>
        <w:tc>
          <w:tcPr>
            <w:tcW w:w="3266" w:type="dxa"/>
            <w:tcBorders>
              <w:top w:val="nil"/>
              <w:left w:val="single" w:sz="8" w:space="0" w:color="auto"/>
              <w:bottom w:val="single" w:sz="8" w:space="0" w:color="auto"/>
              <w:right w:val="single" w:sz="4" w:space="0" w:color="auto"/>
            </w:tcBorders>
            <w:shd w:val="clear" w:color="auto" w:fill="404040" w:themeFill="text1" w:themeFillTint="BF"/>
            <w:noWrap/>
            <w:vAlign w:val="bottom"/>
          </w:tcPr>
          <w:p w14:paraId="69CC1175" w14:textId="691A8B5B" w:rsidR="00CD740B" w:rsidRPr="00866AA6" w:rsidRDefault="00CD740B" w:rsidP="002C2583">
            <w:pPr>
              <w:keepNext/>
              <w:keepLines/>
              <w:widowControl/>
              <w:autoSpaceDE/>
              <w:autoSpaceDN/>
              <w:adjustRightInd/>
              <w:ind w:firstLine="200"/>
              <w:rPr>
                <w:color w:val="000000"/>
                <w:sz w:val="18"/>
                <w:szCs w:val="18"/>
              </w:rPr>
            </w:pPr>
          </w:p>
        </w:tc>
        <w:tc>
          <w:tcPr>
            <w:tcW w:w="1423" w:type="dxa"/>
            <w:tcBorders>
              <w:top w:val="nil"/>
              <w:left w:val="nil"/>
              <w:bottom w:val="single" w:sz="8" w:space="0" w:color="auto"/>
              <w:right w:val="single" w:sz="4" w:space="0" w:color="auto"/>
            </w:tcBorders>
            <w:shd w:val="clear" w:color="auto" w:fill="404040" w:themeFill="text1" w:themeFillTint="BF"/>
            <w:noWrap/>
            <w:vAlign w:val="center"/>
          </w:tcPr>
          <w:p w14:paraId="54C6AD9E" w14:textId="2E680F2A" w:rsidR="00CD740B" w:rsidRPr="00866AA6" w:rsidRDefault="00CD740B" w:rsidP="002C2583">
            <w:pPr>
              <w:keepNext/>
              <w:keepLines/>
              <w:widowControl/>
              <w:autoSpaceDE/>
              <w:autoSpaceDN/>
              <w:adjustRightInd/>
              <w:jc w:val="center"/>
              <w:rPr>
                <w:color w:val="000000"/>
                <w:sz w:val="18"/>
                <w:szCs w:val="18"/>
              </w:rPr>
            </w:pPr>
          </w:p>
        </w:tc>
        <w:tc>
          <w:tcPr>
            <w:tcW w:w="2224" w:type="dxa"/>
            <w:tcBorders>
              <w:top w:val="nil"/>
              <w:left w:val="nil"/>
              <w:bottom w:val="single" w:sz="8" w:space="0" w:color="auto"/>
              <w:right w:val="single" w:sz="4" w:space="0" w:color="auto"/>
            </w:tcBorders>
            <w:shd w:val="clear" w:color="auto" w:fill="404040" w:themeFill="text1" w:themeFillTint="BF"/>
            <w:noWrap/>
            <w:vAlign w:val="center"/>
          </w:tcPr>
          <w:p w14:paraId="64FF5765" w14:textId="2947467E" w:rsidR="00CD740B" w:rsidRPr="00866AA6" w:rsidRDefault="00CD740B" w:rsidP="002C2583">
            <w:pPr>
              <w:keepNext/>
              <w:keepLines/>
              <w:widowControl/>
              <w:autoSpaceDE/>
              <w:autoSpaceDN/>
              <w:adjustRightInd/>
              <w:jc w:val="center"/>
              <w:rPr>
                <w:color w:val="000000"/>
                <w:sz w:val="18"/>
                <w:szCs w:val="18"/>
              </w:rPr>
            </w:pPr>
          </w:p>
        </w:tc>
        <w:tc>
          <w:tcPr>
            <w:tcW w:w="1929" w:type="dxa"/>
            <w:tcBorders>
              <w:top w:val="nil"/>
              <w:left w:val="nil"/>
              <w:bottom w:val="single" w:sz="8" w:space="0" w:color="auto"/>
              <w:right w:val="single" w:sz="8" w:space="0" w:color="auto"/>
            </w:tcBorders>
            <w:shd w:val="clear" w:color="auto" w:fill="404040" w:themeFill="text1" w:themeFillTint="BF"/>
            <w:noWrap/>
            <w:vAlign w:val="center"/>
          </w:tcPr>
          <w:p w14:paraId="32C8A518" w14:textId="2D83830D" w:rsidR="00CD740B" w:rsidRPr="00866AA6" w:rsidRDefault="00CD740B" w:rsidP="002C2583">
            <w:pPr>
              <w:keepNext/>
              <w:keepLines/>
              <w:widowControl/>
              <w:autoSpaceDE/>
              <w:autoSpaceDN/>
              <w:adjustRightInd/>
              <w:jc w:val="center"/>
              <w:rPr>
                <w:color w:val="000000"/>
                <w:sz w:val="18"/>
                <w:szCs w:val="18"/>
              </w:rPr>
            </w:pPr>
          </w:p>
        </w:tc>
      </w:tr>
    </w:tbl>
    <w:p w14:paraId="7B73CCDD" w14:textId="77777777" w:rsidR="00866AA6" w:rsidRDefault="00866AA6" w:rsidP="002C2583">
      <w:pPr>
        <w:ind w:left="720" w:right="720" w:hanging="720"/>
        <w:rPr>
          <w:b/>
        </w:rPr>
      </w:pPr>
      <w:r>
        <w:rPr>
          <w:b/>
        </w:rPr>
        <w:t>END CONFIDENTIAL&gt;&gt;</w:t>
      </w:r>
    </w:p>
    <w:p w14:paraId="248725F6" w14:textId="77777777" w:rsidR="008B6489" w:rsidRDefault="005C45F6" w:rsidP="002C2583">
      <w:pPr>
        <w:spacing w:line="480" w:lineRule="auto"/>
        <w:ind w:left="720" w:right="720" w:hanging="720"/>
        <w:rPr>
          <w:b/>
        </w:rPr>
      </w:pPr>
      <w:r>
        <w:rPr>
          <w:b/>
        </w:rPr>
        <w:t>Q:</w:t>
      </w:r>
      <w:r>
        <w:rPr>
          <w:b/>
        </w:rPr>
        <w:tab/>
        <w:t>Can you make any conclusions about which carriers may merit further scrutiny?</w:t>
      </w:r>
    </w:p>
    <w:p w14:paraId="6FC80297" w14:textId="77777777" w:rsidR="005C45F6" w:rsidRDefault="005C45F6" w:rsidP="002C2583">
      <w:pPr>
        <w:spacing w:line="480" w:lineRule="auto"/>
        <w:ind w:left="720" w:right="720" w:hanging="720"/>
      </w:pPr>
      <w:r>
        <w:t>A:</w:t>
      </w:r>
      <w:r>
        <w:tab/>
        <w:t>Yes</w:t>
      </w:r>
      <w:r w:rsidR="002A0FC3">
        <w:t xml:space="preserve">.  </w:t>
      </w:r>
      <w:r w:rsidR="00A85490">
        <w:t>Confidential Table C-2</w:t>
      </w:r>
      <w:r w:rsidR="0055710F">
        <w:t>1</w:t>
      </w:r>
      <w:r>
        <w:t xml:space="preserve"> below provides the list of </w:t>
      </w:r>
      <w:r w:rsidR="00BB727A">
        <w:t xml:space="preserve">19 </w:t>
      </w:r>
      <w:r w:rsidR="00EF0A1E">
        <w:t>S</w:t>
      </w:r>
      <w:r>
        <w:t xml:space="preserve">uppliers </w:t>
      </w:r>
      <w:r w:rsidR="00BB727A">
        <w:t xml:space="preserve">for which </w:t>
      </w:r>
      <w:r w:rsidR="00EF0A1E">
        <w:t>we</w:t>
      </w:r>
      <w:r w:rsidR="00BB727A">
        <w:t xml:space="preserve"> calculate</w:t>
      </w:r>
      <w:r>
        <w:t xml:space="preserve"> </w:t>
      </w:r>
      <w:r w:rsidR="001F77E5">
        <w:t xml:space="preserve">weighted average rates </w:t>
      </w:r>
      <w:r w:rsidR="00FB371D">
        <w:t>that were 35</w:t>
      </w:r>
      <w:r w:rsidR="001F77E5">
        <w:t xml:space="preserve">% above the </w:t>
      </w:r>
      <w:r w:rsidR="00EF0A1E">
        <w:t>Standard O</w:t>
      </w:r>
      <w:r w:rsidR="001F77E5">
        <w:t>ffer of one or both of the distribution companies</w:t>
      </w:r>
      <w:r w:rsidR="00FB371D">
        <w:t xml:space="preserve"> and/or </w:t>
      </w:r>
      <w:r w:rsidR="00A22207">
        <w:t>had a Complaint Ratio above 1.2</w:t>
      </w:r>
      <w:r w:rsidR="001F77E5">
        <w:t>.  In other words, the</w:t>
      </w:r>
      <w:r w:rsidR="00A93FF2">
        <w:t xml:space="preserve"> Supplier</w:t>
      </w:r>
      <w:r w:rsidR="001F77E5">
        <w:t xml:space="preserve">s </w:t>
      </w:r>
      <w:r w:rsidR="00FB371D">
        <w:t>listed below either had rates 35</w:t>
      </w:r>
      <w:r w:rsidR="001F77E5">
        <w:t xml:space="preserve">% above the </w:t>
      </w:r>
      <w:r w:rsidR="00EF0A1E">
        <w:t>S</w:t>
      </w:r>
      <w:r w:rsidR="00FB371D">
        <w:t xml:space="preserve">tandard </w:t>
      </w:r>
      <w:r w:rsidR="00EF0A1E">
        <w:t>O</w:t>
      </w:r>
      <w:r w:rsidR="00FB371D">
        <w:t xml:space="preserve">ffer of the distribution company or had </w:t>
      </w:r>
      <w:r w:rsidR="00A22207">
        <w:t>more of a share of complaints than would be suspected given the size of their subscriber base</w:t>
      </w:r>
      <w:r w:rsidR="00FB371D">
        <w:t xml:space="preserve"> (or both).</w:t>
      </w:r>
      <w:r w:rsidR="00A22207">
        <w:t xml:space="preserve">  The table </w:t>
      </w:r>
      <w:r w:rsidR="00EF0A1E">
        <w:t>rank</w:t>
      </w:r>
      <w:r w:rsidR="00A22207">
        <w:t xml:space="preserve">s the </w:t>
      </w:r>
      <w:r w:rsidR="00EF0A1E">
        <w:t>S</w:t>
      </w:r>
      <w:r w:rsidR="00A22207">
        <w:t xml:space="preserve">uppliers based on their weighted average rates compared to CL&amp;P’s </w:t>
      </w:r>
      <w:r w:rsidR="00EF0A1E">
        <w:t>S</w:t>
      </w:r>
      <w:r w:rsidR="00A22207">
        <w:t xml:space="preserve">tandard </w:t>
      </w:r>
      <w:r w:rsidR="00EF0A1E">
        <w:t>O</w:t>
      </w:r>
      <w:r w:rsidR="00A22207">
        <w:t>ffer from largest price difference to smallest.</w:t>
      </w:r>
    </w:p>
    <w:p w14:paraId="67184BD8" w14:textId="77777777" w:rsidR="003B3D6B" w:rsidRDefault="00CC6305" w:rsidP="002C2583">
      <w:pPr>
        <w:keepNext/>
        <w:keepLines/>
        <w:ind w:left="720" w:right="720" w:hanging="720"/>
        <w:jc w:val="center"/>
        <w:rPr>
          <w:b/>
        </w:rPr>
      </w:pPr>
      <w:r>
        <w:rPr>
          <w:b/>
        </w:rPr>
        <w:t xml:space="preserve">Confidential </w:t>
      </w:r>
      <w:r w:rsidR="003B3D6B">
        <w:rPr>
          <w:b/>
        </w:rPr>
        <w:t xml:space="preserve">Table </w:t>
      </w:r>
      <w:r w:rsidR="0055710F">
        <w:rPr>
          <w:b/>
        </w:rPr>
        <w:t>C-21</w:t>
      </w:r>
    </w:p>
    <w:p w14:paraId="2A229A60" w14:textId="77777777" w:rsidR="003B3D6B" w:rsidRDefault="00CC6305" w:rsidP="002C2583">
      <w:pPr>
        <w:keepNext/>
        <w:keepLines/>
        <w:ind w:left="720" w:right="720" w:hanging="720"/>
        <w:jc w:val="center"/>
        <w:rPr>
          <w:b/>
        </w:rPr>
      </w:pPr>
      <w:r>
        <w:rPr>
          <w:b/>
        </w:rPr>
        <w:t xml:space="preserve">Suppliers with High Rates and High Complaint Ratios </w:t>
      </w:r>
    </w:p>
    <w:p w14:paraId="0C8926DA" w14:textId="77777777" w:rsidR="003B3D6B" w:rsidRDefault="003B3D6B" w:rsidP="002C2583">
      <w:pPr>
        <w:keepNext/>
        <w:keepLines/>
        <w:ind w:left="720" w:right="720" w:hanging="720"/>
        <w:jc w:val="center"/>
        <w:rPr>
          <w:b/>
        </w:rPr>
      </w:pPr>
    </w:p>
    <w:p w14:paraId="04A421BC" w14:textId="77777777" w:rsidR="003B3D6B" w:rsidRDefault="003B3D6B" w:rsidP="002C2583">
      <w:pPr>
        <w:keepNext/>
        <w:keepLines/>
        <w:ind w:left="720" w:right="720" w:hanging="720"/>
        <w:rPr>
          <w:b/>
        </w:rPr>
      </w:pPr>
      <w:r>
        <w:rPr>
          <w:b/>
        </w:rPr>
        <w:t>&lt;&lt;BEGIN CONFIDENTIAL</w:t>
      </w:r>
    </w:p>
    <w:tbl>
      <w:tblPr>
        <w:tblW w:w="9545" w:type="dxa"/>
        <w:tblInd w:w="93" w:type="dxa"/>
        <w:tblLayout w:type="fixed"/>
        <w:tblCellMar>
          <w:left w:w="115" w:type="dxa"/>
          <w:right w:w="115" w:type="dxa"/>
        </w:tblCellMar>
        <w:tblLook w:val="04A0" w:firstRow="1" w:lastRow="0" w:firstColumn="1" w:lastColumn="0" w:noHBand="0" w:noVBand="1"/>
      </w:tblPr>
      <w:tblGrid>
        <w:gridCol w:w="2542"/>
        <w:gridCol w:w="1170"/>
        <w:gridCol w:w="1170"/>
        <w:gridCol w:w="1228"/>
        <w:gridCol w:w="1174"/>
        <w:gridCol w:w="1108"/>
        <w:gridCol w:w="1153"/>
      </w:tblGrid>
      <w:tr w:rsidR="00EA4ED8" w:rsidRPr="003B3D6B" w14:paraId="63117CCC" w14:textId="77777777" w:rsidTr="00355526">
        <w:trPr>
          <w:trHeight w:val="1220"/>
        </w:trPr>
        <w:tc>
          <w:tcPr>
            <w:tcW w:w="2542" w:type="dxa"/>
            <w:tcBorders>
              <w:top w:val="single" w:sz="8" w:space="0" w:color="auto"/>
              <w:left w:val="single" w:sz="8" w:space="0" w:color="auto"/>
              <w:bottom w:val="single" w:sz="8" w:space="0" w:color="auto"/>
              <w:right w:val="nil"/>
            </w:tcBorders>
            <w:shd w:val="clear" w:color="auto" w:fill="404040" w:themeFill="text1" w:themeFillTint="BF"/>
            <w:noWrap/>
            <w:vAlign w:val="center"/>
          </w:tcPr>
          <w:p w14:paraId="27AEE70A" w14:textId="1925D849" w:rsidR="003B3D6B" w:rsidRPr="003B3D6B" w:rsidRDefault="003B3D6B" w:rsidP="002C2583">
            <w:pPr>
              <w:keepNext/>
              <w:keepLines/>
              <w:widowControl/>
              <w:autoSpaceDE/>
              <w:autoSpaceDN/>
              <w:adjustRightInd/>
              <w:jc w:val="center"/>
              <w:rPr>
                <w:b/>
                <w:bCs/>
                <w:color w:val="000000"/>
                <w:sz w:val="20"/>
                <w:szCs w:val="20"/>
              </w:rPr>
            </w:pPr>
          </w:p>
        </w:tc>
        <w:tc>
          <w:tcPr>
            <w:tcW w:w="1170" w:type="dxa"/>
            <w:tcBorders>
              <w:top w:val="single" w:sz="8" w:space="0" w:color="auto"/>
              <w:left w:val="nil"/>
              <w:bottom w:val="single" w:sz="8" w:space="0" w:color="auto"/>
              <w:right w:val="nil"/>
            </w:tcBorders>
            <w:shd w:val="clear" w:color="auto" w:fill="404040" w:themeFill="text1" w:themeFillTint="BF"/>
            <w:vAlign w:val="center"/>
          </w:tcPr>
          <w:p w14:paraId="7BE237E1" w14:textId="52E79401" w:rsidR="003B3D6B" w:rsidRPr="003B3D6B" w:rsidRDefault="003B3D6B" w:rsidP="002C2583">
            <w:pPr>
              <w:keepNext/>
              <w:keepLines/>
              <w:widowControl/>
              <w:autoSpaceDE/>
              <w:autoSpaceDN/>
              <w:adjustRightInd/>
              <w:jc w:val="center"/>
              <w:rPr>
                <w:b/>
                <w:bCs/>
                <w:sz w:val="20"/>
                <w:szCs w:val="20"/>
              </w:rPr>
            </w:pPr>
          </w:p>
        </w:tc>
        <w:tc>
          <w:tcPr>
            <w:tcW w:w="1170" w:type="dxa"/>
            <w:tcBorders>
              <w:top w:val="single" w:sz="8" w:space="0" w:color="auto"/>
              <w:left w:val="nil"/>
              <w:bottom w:val="single" w:sz="8" w:space="0" w:color="auto"/>
              <w:right w:val="nil"/>
            </w:tcBorders>
            <w:shd w:val="clear" w:color="auto" w:fill="404040" w:themeFill="text1" w:themeFillTint="BF"/>
            <w:vAlign w:val="center"/>
          </w:tcPr>
          <w:p w14:paraId="3086BD5B" w14:textId="4CB83C21" w:rsidR="003B3D6B" w:rsidRPr="003B3D6B" w:rsidRDefault="003B3D6B" w:rsidP="002C2583">
            <w:pPr>
              <w:keepNext/>
              <w:keepLines/>
              <w:widowControl/>
              <w:autoSpaceDE/>
              <w:autoSpaceDN/>
              <w:adjustRightInd/>
              <w:jc w:val="center"/>
              <w:rPr>
                <w:b/>
                <w:bCs/>
                <w:color w:val="000000"/>
                <w:sz w:val="20"/>
                <w:szCs w:val="20"/>
              </w:rPr>
            </w:pPr>
          </w:p>
        </w:tc>
        <w:tc>
          <w:tcPr>
            <w:tcW w:w="1228" w:type="dxa"/>
            <w:tcBorders>
              <w:top w:val="single" w:sz="8" w:space="0" w:color="auto"/>
              <w:left w:val="nil"/>
              <w:bottom w:val="single" w:sz="8" w:space="0" w:color="auto"/>
              <w:right w:val="nil"/>
            </w:tcBorders>
            <w:shd w:val="clear" w:color="auto" w:fill="404040" w:themeFill="text1" w:themeFillTint="BF"/>
            <w:vAlign w:val="center"/>
          </w:tcPr>
          <w:p w14:paraId="3C1B2766" w14:textId="556988F7" w:rsidR="003B3D6B" w:rsidRPr="003B3D6B" w:rsidRDefault="003B3D6B" w:rsidP="002C2583">
            <w:pPr>
              <w:keepNext/>
              <w:keepLines/>
              <w:widowControl/>
              <w:autoSpaceDE/>
              <w:autoSpaceDN/>
              <w:adjustRightInd/>
              <w:jc w:val="center"/>
              <w:rPr>
                <w:b/>
                <w:bCs/>
                <w:color w:val="000000"/>
                <w:sz w:val="20"/>
                <w:szCs w:val="20"/>
              </w:rPr>
            </w:pPr>
          </w:p>
        </w:tc>
        <w:tc>
          <w:tcPr>
            <w:tcW w:w="1174" w:type="dxa"/>
            <w:tcBorders>
              <w:top w:val="single" w:sz="8" w:space="0" w:color="auto"/>
              <w:left w:val="nil"/>
              <w:bottom w:val="single" w:sz="8" w:space="0" w:color="auto"/>
              <w:right w:val="nil"/>
            </w:tcBorders>
            <w:shd w:val="clear" w:color="auto" w:fill="404040" w:themeFill="text1" w:themeFillTint="BF"/>
            <w:vAlign w:val="center"/>
          </w:tcPr>
          <w:p w14:paraId="78C337A3" w14:textId="533939C1" w:rsidR="003B3D6B" w:rsidRPr="003B3D6B" w:rsidRDefault="003B3D6B" w:rsidP="002C2583">
            <w:pPr>
              <w:keepNext/>
              <w:keepLines/>
              <w:widowControl/>
              <w:autoSpaceDE/>
              <w:autoSpaceDN/>
              <w:adjustRightInd/>
              <w:jc w:val="center"/>
              <w:rPr>
                <w:b/>
                <w:bCs/>
                <w:color w:val="000000"/>
                <w:sz w:val="20"/>
                <w:szCs w:val="20"/>
              </w:rPr>
            </w:pPr>
          </w:p>
        </w:tc>
        <w:tc>
          <w:tcPr>
            <w:tcW w:w="1108" w:type="dxa"/>
            <w:tcBorders>
              <w:top w:val="single" w:sz="8" w:space="0" w:color="auto"/>
              <w:left w:val="nil"/>
              <w:bottom w:val="single" w:sz="8" w:space="0" w:color="auto"/>
              <w:right w:val="nil"/>
            </w:tcBorders>
            <w:shd w:val="clear" w:color="auto" w:fill="404040" w:themeFill="text1" w:themeFillTint="BF"/>
            <w:vAlign w:val="center"/>
          </w:tcPr>
          <w:p w14:paraId="743A6245" w14:textId="646D6143" w:rsidR="003B3D6B" w:rsidRPr="003B3D6B" w:rsidRDefault="003B3D6B" w:rsidP="002C2583">
            <w:pPr>
              <w:keepNext/>
              <w:keepLines/>
              <w:widowControl/>
              <w:autoSpaceDE/>
              <w:autoSpaceDN/>
              <w:adjustRightInd/>
              <w:jc w:val="center"/>
              <w:rPr>
                <w:b/>
                <w:bCs/>
                <w:color w:val="000000"/>
                <w:sz w:val="20"/>
                <w:szCs w:val="20"/>
              </w:rPr>
            </w:pPr>
          </w:p>
        </w:tc>
        <w:tc>
          <w:tcPr>
            <w:tcW w:w="1153" w:type="dxa"/>
            <w:tcBorders>
              <w:top w:val="single" w:sz="8" w:space="0" w:color="auto"/>
              <w:left w:val="nil"/>
              <w:bottom w:val="single" w:sz="8" w:space="0" w:color="auto"/>
              <w:right w:val="single" w:sz="8" w:space="0" w:color="auto"/>
            </w:tcBorders>
            <w:shd w:val="clear" w:color="auto" w:fill="404040" w:themeFill="text1" w:themeFillTint="BF"/>
            <w:vAlign w:val="center"/>
          </w:tcPr>
          <w:p w14:paraId="7ED8ED38" w14:textId="7BA42D5E" w:rsidR="003B3D6B" w:rsidRPr="003B3D6B" w:rsidRDefault="003B3D6B" w:rsidP="00EA4ED8">
            <w:pPr>
              <w:keepNext/>
              <w:keepLines/>
              <w:widowControl/>
              <w:autoSpaceDE/>
              <w:autoSpaceDN/>
              <w:adjustRightInd/>
              <w:ind w:right="57"/>
              <w:jc w:val="center"/>
              <w:rPr>
                <w:b/>
                <w:bCs/>
                <w:color w:val="000000"/>
                <w:sz w:val="20"/>
                <w:szCs w:val="20"/>
              </w:rPr>
            </w:pPr>
          </w:p>
        </w:tc>
      </w:tr>
      <w:tr w:rsidR="00EA4ED8" w:rsidRPr="003B3D6B" w14:paraId="6F1397E1"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30ED76E7" w14:textId="4ED8D866" w:rsidR="003B3D6B" w:rsidRPr="003B3D6B" w:rsidRDefault="003B3D6B" w:rsidP="002C2583">
            <w:pPr>
              <w:keepNext/>
              <w:keepLines/>
              <w:widowControl/>
              <w:autoSpaceDE/>
              <w:autoSpaceDN/>
              <w:adjustRightInd/>
              <w:spacing w:line="360" w:lineRule="auto"/>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20F738C3" w14:textId="77777777" w:rsidR="003B3D6B" w:rsidRPr="003B3D6B" w:rsidRDefault="003B3D6B" w:rsidP="002C2583">
            <w:pPr>
              <w:keepNext/>
              <w:keepLines/>
              <w:widowControl/>
              <w:autoSpaceDE/>
              <w:autoSpaceDN/>
              <w:adjustRightInd/>
              <w:spacing w:line="360" w:lineRule="auto"/>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47495733" w14:textId="77777777" w:rsidR="003B3D6B" w:rsidRPr="003B3D6B" w:rsidRDefault="003B3D6B" w:rsidP="002C2583">
            <w:pPr>
              <w:keepNext/>
              <w:keepLines/>
              <w:widowControl/>
              <w:autoSpaceDE/>
              <w:autoSpaceDN/>
              <w:adjustRightInd/>
              <w:spacing w:line="360" w:lineRule="auto"/>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63A30881" w14:textId="77777777" w:rsidR="003B3D6B" w:rsidRPr="003B3D6B" w:rsidRDefault="003B3D6B" w:rsidP="002C2583">
            <w:pPr>
              <w:keepNext/>
              <w:keepLines/>
              <w:widowControl/>
              <w:autoSpaceDE/>
              <w:autoSpaceDN/>
              <w:adjustRightInd/>
              <w:spacing w:line="360" w:lineRule="auto"/>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008A39EC" w14:textId="77777777" w:rsidR="003B3D6B" w:rsidRPr="003B3D6B" w:rsidRDefault="003B3D6B" w:rsidP="002C2583">
            <w:pPr>
              <w:keepNext/>
              <w:keepLines/>
              <w:widowControl/>
              <w:autoSpaceDE/>
              <w:autoSpaceDN/>
              <w:adjustRightInd/>
              <w:spacing w:line="360" w:lineRule="auto"/>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51DCCC47" w14:textId="77777777" w:rsidR="003B3D6B" w:rsidRPr="003B3D6B" w:rsidRDefault="003B3D6B" w:rsidP="002C2583">
            <w:pPr>
              <w:keepNext/>
              <w:keepLines/>
              <w:widowControl/>
              <w:autoSpaceDE/>
              <w:autoSpaceDN/>
              <w:adjustRightInd/>
              <w:spacing w:line="360" w:lineRule="auto"/>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1E95ACD1" w14:textId="5BE72DE7" w:rsidR="003B3D6B" w:rsidRPr="003B3D6B" w:rsidRDefault="003B3D6B" w:rsidP="002C2583">
            <w:pPr>
              <w:keepNext/>
              <w:keepLines/>
              <w:widowControl/>
              <w:autoSpaceDE/>
              <w:autoSpaceDN/>
              <w:adjustRightInd/>
              <w:spacing w:line="360" w:lineRule="auto"/>
              <w:rPr>
                <w:color w:val="000000"/>
                <w:sz w:val="20"/>
                <w:szCs w:val="20"/>
              </w:rPr>
            </w:pPr>
          </w:p>
        </w:tc>
      </w:tr>
      <w:tr w:rsidR="00EA4ED8" w:rsidRPr="003B3D6B" w14:paraId="3756B9CE"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5DB6774A" w14:textId="1C04E8DA"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3C0B4918" w14:textId="22F7EB26"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17FFF730" w14:textId="0244C2F5"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51BA9B44" w14:textId="08AD7A98"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7EE36DB2" w14:textId="3BCED426"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75F43860" w14:textId="4AFBE00B"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3523BEAD" w14:textId="6FF2A6F4"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79601A42"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1522EE34" w14:textId="7DFCA138"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818F69C" w14:textId="01A3A4F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0B9C7F0" w14:textId="74AF3C27"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22383967" w14:textId="6F503FDF"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1FED798" w14:textId="4ADF306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08A1BE62" w14:textId="6DE02458"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4011791D" w14:textId="0365A7B9"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57BA2B8E"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76DC562D" w14:textId="4A276712"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DE2F474" w14:textId="32E9B091"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06C90CF1" w14:textId="00AAC8E5"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6A022455" w14:textId="065186BE"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F38C637" w14:textId="2B7D707F"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7019170D" w14:textId="2DBFA082"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0D963D4B" w14:textId="5FC1ED76"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2BB95C65"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1C25C11A" w14:textId="3D26AA9E"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6F6DC61A" w14:textId="07B4C643"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6155D478" w14:textId="35152838"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34C4F7B4" w14:textId="07E34686"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035F94C1" w14:textId="2058C0A5"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04DA53DC" w14:textId="65CDB9AB"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46CFC4B0" w14:textId="64A9EBF3"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0E090450"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011A5AF9" w14:textId="6BED5FAB"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6B20B27C" w14:textId="2E7F7D0E"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606C2972" w14:textId="33005311"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307EDD19" w14:textId="2C9A356D"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0DF4C407" w14:textId="72A7DB6F"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02110003" w14:textId="479322B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613A20CB" w14:textId="0F6C44AC"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4719E001"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0AF71F26" w14:textId="0856A102"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45729D1E" w14:textId="38E01A1D"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59025719" w14:textId="63AB2CBC"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49D433B2" w14:textId="34A2C6A3"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CD016CB" w14:textId="66DFD95E"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06074F81" w14:textId="10A3617E"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6181AEC0" w14:textId="0C7C1E4F"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3671464A"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46B3618D" w14:textId="275033F2"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6AB23A3B" w14:textId="1357B890"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5270EBBC" w14:textId="1591BEF7"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51106044" w14:textId="5CED458B"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7C49E9CA" w14:textId="16FF585A"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3A9AE976" w14:textId="7A75DF2A"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63FB301A" w14:textId="7E6B6E5D"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182E1729"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32A24D7D" w14:textId="6BCAD34A"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17838EA0" w14:textId="6D3A2C85"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2D035E47" w14:textId="12A208D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75448E93" w14:textId="3ACAD6DF"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21E93DD" w14:textId="5641F117"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4A1B65DE" w14:textId="64E8E910"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181FD4A9" w14:textId="4AE59744"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6038D962"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3B3B497A" w14:textId="2C3A7C1B"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6C7E8F08" w14:textId="28324980"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4E420B35" w14:textId="35EEE0C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56B4E045" w14:textId="3B4735FC"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740CA61B" w14:textId="6FDAE31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244D615B" w14:textId="5044862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479CAA2A" w14:textId="5F18AA27"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03D39B88"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7FF8736B" w14:textId="36C6424E"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970C282" w14:textId="3DEFE238"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5E2F221" w14:textId="6B9E9610"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1E6FD467" w14:textId="54DE34DB"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433422FF" w14:textId="0DE2E7AB"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422F7797" w14:textId="5DCC9E5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320BA55C" w14:textId="5AB7F205"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3EB1AB53"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68027377" w14:textId="14AB843D"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41148BE0" w14:textId="10E3F7F1"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4C46DC94" w14:textId="745235B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5588E930" w14:textId="1BAA6E32"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0066C4F6" w14:textId="7CA33162"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019EC1C6" w14:textId="346AB4B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427C8972" w14:textId="6EEA7A82"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12F1F12B"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41066432" w14:textId="205A9E7A"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2D3EB239" w14:textId="658E54DD"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5948094D" w14:textId="05388D38"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3B99AB96" w14:textId="00C0F30B"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11586074" w14:textId="29B0DAA7"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0678F625" w14:textId="0684A4BF"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69879F2A" w14:textId="12FCC7AB"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1DE2DB94"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66BDA91A" w14:textId="5702F283" w:rsidR="003B3D6B" w:rsidRPr="003B3D6B" w:rsidRDefault="003B3D6B" w:rsidP="00EA4ED8">
            <w:pPr>
              <w:keepNext/>
              <w:keepLines/>
              <w:widowControl/>
              <w:autoSpaceDE/>
              <w:autoSpaceDN/>
              <w:adjustRightInd/>
              <w:spacing w:line="360" w:lineRule="auto"/>
              <w:ind w:hanging="3"/>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150D4A47" w14:textId="45BBF716"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39E734A0" w14:textId="0ABB125C"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75DAA5C1" w14:textId="3DD40B1C"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015CFD4" w14:textId="59B98945"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3FD2D574" w14:textId="409CC836"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16538A07" w14:textId="4F7E7008"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35389DB2"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230E769D" w14:textId="1A87837A"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CE92133" w14:textId="039231A7"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16AB9C43" w14:textId="2C2E341E"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50967E32" w14:textId="6B8A1AAC"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3874256C" w14:textId="1ECAF79E"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5ACC713B" w14:textId="57E8F34F"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7020CBD5" w14:textId="271E7E88"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7C0E0BD3"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58067E1E" w14:textId="7B457514"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0C21378B" w14:textId="041D835F"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15C7F86" w14:textId="58A66FD7"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04952215" w14:textId="7AB04DD2"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8493068" w14:textId="3A4B6D63"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5AD2E923" w14:textId="2B24B54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6846B802" w14:textId="5BCB8E73"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245AD7FD"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41E89B75" w14:textId="23902585"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13A0B072" w14:textId="0EFD396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169DD032" w14:textId="74A592CA"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3F48CC48" w14:textId="11A4A6F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6D1AFE2" w14:textId="1A4985F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1555671E" w14:textId="281A76BA"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0861A09A" w14:textId="32A9687E"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6C4484FE"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4C1CC68C" w14:textId="11ED31E6"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06F9C733" w14:textId="45881DD4" w:rsidR="003B3D6B" w:rsidRPr="003B3D6B" w:rsidRDefault="003B3D6B" w:rsidP="00EA4ED8">
            <w:pPr>
              <w:keepNext/>
              <w:keepLines/>
              <w:widowControl/>
              <w:autoSpaceDE/>
              <w:autoSpaceDN/>
              <w:adjustRightInd/>
              <w:spacing w:line="360" w:lineRule="auto"/>
              <w:ind w:left="-115"/>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375B96F1" w14:textId="3AD62CF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4FBA63DB" w14:textId="42AB25CE"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3C95AD43" w14:textId="6F3AED36"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5524C1F9" w14:textId="45F8A767" w:rsidR="003B3D6B" w:rsidRPr="003B3D6B" w:rsidRDefault="003B3D6B" w:rsidP="002C2583">
            <w:pPr>
              <w:keepNext/>
              <w:keepLines/>
              <w:widowControl/>
              <w:autoSpaceDE/>
              <w:autoSpaceDN/>
              <w:adjustRightInd/>
              <w:spacing w:line="360" w:lineRule="auto"/>
              <w:jc w:val="center"/>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7E32571A" w14:textId="6BFC37E1" w:rsidR="003B3D6B" w:rsidRPr="003B3D6B" w:rsidRDefault="003B3D6B" w:rsidP="002C2583">
            <w:pPr>
              <w:keepNext/>
              <w:keepLines/>
              <w:widowControl/>
              <w:autoSpaceDE/>
              <w:autoSpaceDN/>
              <w:adjustRightInd/>
              <w:spacing w:line="360" w:lineRule="auto"/>
              <w:jc w:val="center"/>
              <w:rPr>
                <w:color w:val="000000"/>
                <w:sz w:val="20"/>
                <w:szCs w:val="20"/>
              </w:rPr>
            </w:pPr>
          </w:p>
        </w:tc>
      </w:tr>
      <w:tr w:rsidR="00EA4ED8" w:rsidRPr="003B3D6B" w14:paraId="6227D423"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1BAEEA8E" w14:textId="4C658B11"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2068FAD1" w14:textId="4201715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66AE45C" w14:textId="368FB437"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7DC7A5B7" w14:textId="170BB0F0"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6F2D46E7" w14:textId="4E65160C"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3705FBA3" w14:textId="3BB5F42C"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7B936F75" w14:textId="539FFCE6"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7F28C369"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2D022DA4" w14:textId="58AA07AB" w:rsidR="003B3D6B" w:rsidRPr="003B3D6B" w:rsidRDefault="003B3D6B" w:rsidP="002C2583">
            <w:pPr>
              <w:keepNext/>
              <w:keepLines/>
              <w:widowControl/>
              <w:autoSpaceDE/>
              <w:autoSpaceDN/>
              <w:adjustRightInd/>
              <w:spacing w:line="360" w:lineRule="auto"/>
              <w:ind w:firstLine="87"/>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479DA7C5" w14:textId="37B29279"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063A1D71" w14:textId="2F53AA21"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7E88289A" w14:textId="72793784"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488A90C2" w14:textId="0FA61B7D"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06E04336" w14:textId="614ADA50" w:rsidR="003B3D6B" w:rsidRPr="003B3D6B" w:rsidRDefault="003B3D6B" w:rsidP="002C2583">
            <w:pPr>
              <w:keepNext/>
              <w:keepLines/>
              <w:widowControl/>
              <w:autoSpaceDE/>
              <w:autoSpaceDN/>
              <w:adjustRightInd/>
              <w:spacing w:line="360" w:lineRule="auto"/>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647F3533" w14:textId="6E94E610" w:rsidR="003B3D6B" w:rsidRPr="003B3D6B" w:rsidRDefault="003B3D6B" w:rsidP="002C2583">
            <w:pPr>
              <w:keepNext/>
              <w:keepLines/>
              <w:widowControl/>
              <w:autoSpaceDE/>
              <w:autoSpaceDN/>
              <w:adjustRightInd/>
              <w:spacing w:line="360" w:lineRule="auto"/>
              <w:jc w:val="right"/>
              <w:rPr>
                <w:color w:val="000000"/>
                <w:sz w:val="20"/>
                <w:szCs w:val="20"/>
              </w:rPr>
            </w:pPr>
          </w:p>
        </w:tc>
      </w:tr>
      <w:tr w:rsidR="00EA4ED8" w:rsidRPr="003B3D6B" w14:paraId="58B537E7" w14:textId="77777777" w:rsidTr="00355526">
        <w:trPr>
          <w:trHeight w:val="120"/>
        </w:trPr>
        <w:tc>
          <w:tcPr>
            <w:tcW w:w="2542" w:type="dxa"/>
            <w:tcBorders>
              <w:top w:val="nil"/>
              <w:left w:val="single" w:sz="8" w:space="0" w:color="auto"/>
              <w:bottom w:val="nil"/>
              <w:right w:val="nil"/>
            </w:tcBorders>
            <w:shd w:val="clear" w:color="auto" w:fill="404040" w:themeFill="text1" w:themeFillTint="BF"/>
            <w:noWrap/>
            <w:vAlign w:val="bottom"/>
          </w:tcPr>
          <w:p w14:paraId="59DD83D6" w14:textId="0DAF0D51" w:rsidR="003B3D6B" w:rsidRPr="003B3D6B" w:rsidRDefault="003B3D6B" w:rsidP="002C2583">
            <w:pPr>
              <w:keepNext/>
              <w:keepLines/>
              <w:widowControl/>
              <w:autoSpaceDE/>
              <w:autoSpaceDN/>
              <w:adjustRightInd/>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221789C7" w14:textId="77777777" w:rsidR="003B3D6B" w:rsidRPr="003B3D6B" w:rsidRDefault="003B3D6B" w:rsidP="002C2583">
            <w:pPr>
              <w:keepNext/>
              <w:keepLines/>
              <w:widowControl/>
              <w:autoSpaceDE/>
              <w:autoSpaceDN/>
              <w:adjustRightInd/>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C0D5362" w14:textId="77777777" w:rsidR="003B3D6B" w:rsidRPr="003B3D6B" w:rsidRDefault="003B3D6B" w:rsidP="002C2583">
            <w:pPr>
              <w:keepNext/>
              <w:keepLines/>
              <w:widowControl/>
              <w:autoSpaceDE/>
              <w:autoSpaceDN/>
              <w:adjustRightInd/>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2644CA5E" w14:textId="77777777" w:rsidR="003B3D6B" w:rsidRPr="003B3D6B" w:rsidRDefault="003B3D6B" w:rsidP="002C2583">
            <w:pPr>
              <w:keepNext/>
              <w:keepLines/>
              <w:widowControl/>
              <w:autoSpaceDE/>
              <w:autoSpaceDN/>
              <w:adjustRightInd/>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3814440D" w14:textId="77777777" w:rsidR="003B3D6B" w:rsidRPr="003B3D6B" w:rsidRDefault="003B3D6B" w:rsidP="002C2583">
            <w:pPr>
              <w:keepNext/>
              <w:keepLines/>
              <w:widowControl/>
              <w:autoSpaceDE/>
              <w:autoSpaceDN/>
              <w:adjustRightInd/>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7C8380A2" w14:textId="77777777" w:rsidR="003B3D6B" w:rsidRPr="003B3D6B" w:rsidRDefault="003B3D6B" w:rsidP="002C2583">
            <w:pPr>
              <w:keepNext/>
              <w:keepLines/>
              <w:widowControl/>
              <w:autoSpaceDE/>
              <w:autoSpaceDN/>
              <w:adjustRightInd/>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5BEAC5DB" w14:textId="0DF5118D" w:rsidR="003B3D6B" w:rsidRPr="003B3D6B" w:rsidRDefault="003B3D6B" w:rsidP="002C2583">
            <w:pPr>
              <w:keepNext/>
              <w:keepLines/>
              <w:widowControl/>
              <w:autoSpaceDE/>
              <w:autoSpaceDN/>
              <w:adjustRightInd/>
              <w:rPr>
                <w:color w:val="000000"/>
                <w:sz w:val="20"/>
                <w:szCs w:val="20"/>
              </w:rPr>
            </w:pPr>
          </w:p>
        </w:tc>
      </w:tr>
      <w:tr w:rsidR="00EA4ED8" w:rsidRPr="003B3D6B" w14:paraId="49F844E8" w14:textId="77777777" w:rsidTr="00355526">
        <w:trPr>
          <w:trHeight w:val="280"/>
        </w:trPr>
        <w:tc>
          <w:tcPr>
            <w:tcW w:w="2542" w:type="dxa"/>
            <w:tcBorders>
              <w:top w:val="nil"/>
              <w:left w:val="single" w:sz="8" w:space="0" w:color="auto"/>
              <w:bottom w:val="nil"/>
              <w:right w:val="nil"/>
            </w:tcBorders>
            <w:shd w:val="clear" w:color="auto" w:fill="404040" w:themeFill="text1" w:themeFillTint="BF"/>
            <w:noWrap/>
            <w:vAlign w:val="bottom"/>
          </w:tcPr>
          <w:p w14:paraId="3B2E6E7D" w14:textId="11261D08" w:rsidR="003B3D6B" w:rsidRPr="003B3D6B" w:rsidRDefault="003B3D6B" w:rsidP="002C2583">
            <w:pPr>
              <w:keepNext/>
              <w:keepLines/>
              <w:widowControl/>
              <w:autoSpaceDE/>
              <w:autoSpaceDN/>
              <w:adjustRightInd/>
              <w:ind w:firstLine="200"/>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F517584" w14:textId="77777777" w:rsidR="003B3D6B" w:rsidRPr="003B3D6B" w:rsidRDefault="003B3D6B" w:rsidP="002C2583">
            <w:pPr>
              <w:keepNext/>
              <w:keepLines/>
              <w:widowControl/>
              <w:autoSpaceDE/>
              <w:autoSpaceDN/>
              <w:adjustRightInd/>
              <w:ind w:firstLine="200"/>
              <w:rPr>
                <w:color w:val="000000"/>
                <w:sz w:val="20"/>
                <w:szCs w:val="20"/>
              </w:rPr>
            </w:pPr>
          </w:p>
        </w:tc>
        <w:tc>
          <w:tcPr>
            <w:tcW w:w="1170" w:type="dxa"/>
            <w:tcBorders>
              <w:top w:val="nil"/>
              <w:left w:val="nil"/>
              <w:bottom w:val="nil"/>
              <w:right w:val="nil"/>
            </w:tcBorders>
            <w:shd w:val="clear" w:color="auto" w:fill="404040" w:themeFill="text1" w:themeFillTint="BF"/>
            <w:noWrap/>
            <w:vAlign w:val="bottom"/>
          </w:tcPr>
          <w:p w14:paraId="73164D6C" w14:textId="77777777" w:rsidR="003B3D6B" w:rsidRPr="003B3D6B" w:rsidRDefault="003B3D6B" w:rsidP="002C2583">
            <w:pPr>
              <w:keepNext/>
              <w:keepLines/>
              <w:widowControl/>
              <w:autoSpaceDE/>
              <w:autoSpaceDN/>
              <w:adjustRightInd/>
              <w:rPr>
                <w:color w:val="000000"/>
                <w:sz w:val="20"/>
                <w:szCs w:val="20"/>
              </w:rPr>
            </w:pPr>
          </w:p>
        </w:tc>
        <w:tc>
          <w:tcPr>
            <w:tcW w:w="1228" w:type="dxa"/>
            <w:tcBorders>
              <w:top w:val="nil"/>
              <w:left w:val="nil"/>
              <w:bottom w:val="nil"/>
              <w:right w:val="nil"/>
            </w:tcBorders>
            <w:shd w:val="clear" w:color="auto" w:fill="404040" w:themeFill="text1" w:themeFillTint="BF"/>
            <w:noWrap/>
            <w:vAlign w:val="bottom"/>
          </w:tcPr>
          <w:p w14:paraId="39A52DD5" w14:textId="1DA9AB87" w:rsidR="003B3D6B" w:rsidRPr="003B3D6B" w:rsidRDefault="003B3D6B" w:rsidP="002C2583">
            <w:pPr>
              <w:keepNext/>
              <w:keepLines/>
              <w:widowControl/>
              <w:autoSpaceDE/>
              <w:autoSpaceDN/>
              <w:adjustRightInd/>
              <w:jc w:val="right"/>
              <w:rPr>
                <w:color w:val="000000"/>
                <w:sz w:val="20"/>
                <w:szCs w:val="20"/>
              </w:rPr>
            </w:pPr>
          </w:p>
        </w:tc>
        <w:tc>
          <w:tcPr>
            <w:tcW w:w="1174" w:type="dxa"/>
            <w:tcBorders>
              <w:top w:val="nil"/>
              <w:left w:val="nil"/>
              <w:bottom w:val="nil"/>
              <w:right w:val="nil"/>
            </w:tcBorders>
            <w:shd w:val="clear" w:color="auto" w:fill="404040" w:themeFill="text1" w:themeFillTint="BF"/>
            <w:noWrap/>
            <w:vAlign w:val="bottom"/>
          </w:tcPr>
          <w:p w14:paraId="10DC1920" w14:textId="77777777" w:rsidR="003B3D6B" w:rsidRPr="003B3D6B" w:rsidRDefault="003B3D6B" w:rsidP="002C2583">
            <w:pPr>
              <w:keepNext/>
              <w:keepLines/>
              <w:widowControl/>
              <w:autoSpaceDE/>
              <w:autoSpaceDN/>
              <w:adjustRightInd/>
              <w:rPr>
                <w:color w:val="000000"/>
                <w:sz w:val="20"/>
                <w:szCs w:val="20"/>
              </w:rPr>
            </w:pPr>
          </w:p>
        </w:tc>
        <w:tc>
          <w:tcPr>
            <w:tcW w:w="1108" w:type="dxa"/>
            <w:tcBorders>
              <w:top w:val="nil"/>
              <w:left w:val="nil"/>
              <w:bottom w:val="nil"/>
              <w:right w:val="nil"/>
            </w:tcBorders>
            <w:shd w:val="clear" w:color="auto" w:fill="404040" w:themeFill="text1" w:themeFillTint="BF"/>
            <w:noWrap/>
            <w:vAlign w:val="bottom"/>
          </w:tcPr>
          <w:p w14:paraId="66BCA4CF" w14:textId="50AD2678" w:rsidR="003B3D6B" w:rsidRPr="003B3D6B" w:rsidRDefault="003B3D6B" w:rsidP="002C2583">
            <w:pPr>
              <w:keepNext/>
              <w:keepLines/>
              <w:widowControl/>
              <w:autoSpaceDE/>
              <w:autoSpaceDN/>
              <w:adjustRightInd/>
              <w:jc w:val="right"/>
              <w:rPr>
                <w:color w:val="000000"/>
                <w:sz w:val="20"/>
                <w:szCs w:val="20"/>
              </w:rPr>
            </w:pPr>
          </w:p>
        </w:tc>
        <w:tc>
          <w:tcPr>
            <w:tcW w:w="1153" w:type="dxa"/>
            <w:tcBorders>
              <w:top w:val="nil"/>
              <w:left w:val="nil"/>
              <w:bottom w:val="nil"/>
              <w:right w:val="single" w:sz="8" w:space="0" w:color="auto"/>
            </w:tcBorders>
            <w:shd w:val="clear" w:color="auto" w:fill="404040" w:themeFill="text1" w:themeFillTint="BF"/>
            <w:noWrap/>
            <w:vAlign w:val="bottom"/>
          </w:tcPr>
          <w:p w14:paraId="6E0B7E46" w14:textId="0F9E8DA8" w:rsidR="003B3D6B" w:rsidRPr="003B3D6B" w:rsidRDefault="003B3D6B" w:rsidP="002C2583">
            <w:pPr>
              <w:keepNext/>
              <w:keepLines/>
              <w:widowControl/>
              <w:autoSpaceDE/>
              <w:autoSpaceDN/>
              <w:adjustRightInd/>
              <w:rPr>
                <w:color w:val="000000"/>
                <w:sz w:val="20"/>
                <w:szCs w:val="20"/>
              </w:rPr>
            </w:pPr>
          </w:p>
        </w:tc>
      </w:tr>
      <w:tr w:rsidR="00EA4ED8" w:rsidRPr="003B3D6B" w14:paraId="2BBB3FDF" w14:textId="77777777" w:rsidTr="00EA4ED8">
        <w:trPr>
          <w:trHeight w:val="180"/>
        </w:trPr>
        <w:tc>
          <w:tcPr>
            <w:tcW w:w="2542" w:type="dxa"/>
            <w:tcBorders>
              <w:top w:val="nil"/>
              <w:left w:val="single" w:sz="8" w:space="0" w:color="auto"/>
              <w:bottom w:val="single" w:sz="8" w:space="0" w:color="auto"/>
              <w:right w:val="nil"/>
            </w:tcBorders>
            <w:shd w:val="clear" w:color="auto" w:fill="auto"/>
            <w:noWrap/>
            <w:vAlign w:val="bottom"/>
            <w:hideMark/>
          </w:tcPr>
          <w:p w14:paraId="54784D53" w14:textId="77777777" w:rsidR="003B3D6B" w:rsidRPr="003B3D6B" w:rsidRDefault="003B3D6B" w:rsidP="002C2583">
            <w:pPr>
              <w:keepNext/>
              <w:keepLines/>
              <w:widowControl/>
              <w:autoSpaceDE/>
              <w:autoSpaceDN/>
              <w:adjustRightInd/>
              <w:rPr>
                <w:color w:val="000000"/>
                <w:sz w:val="20"/>
                <w:szCs w:val="20"/>
              </w:rPr>
            </w:pPr>
            <w:r w:rsidRPr="003B3D6B">
              <w:rPr>
                <w:color w:val="000000"/>
                <w:sz w:val="20"/>
                <w:szCs w:val="20"/>
              </w:rPr>
              <w:t> </w:t>
            </w:r>
          </w:p>
        </w:tc>
        <w:tc>
          <w:tcPr>
            <w:tcW w:w="1170" w:type="dxa"/>
            <w:tcBorders>
              <w:top w:val="nil"/>
              <w:left w:val="nil"/>
              <w:bottom w:val="single" w:sz="8" w:space="0" w:color="auto"/>
              <w:right w:val="nil"/>
            </w:tcBorders>
            <w:shd w:val="clear" w:color="auto" w:fill="auto"/>
            <w:noWrap/>
            <w:vAlign w:val="bottom"/>
            <w:hideMark/>
          </w:tcPr>
          <w:p w14:paraId="263B4936" w14:textId="77777777" w:rsidR="003B3D6B" w:rsidRPr="003B3D6B" w:rsidRDefault="003B3D6B" w:rsidP="002C2583">
            <w:pPr>
              <w:keepNext/>
              <w:keepLines/>
              <w:widowControl/>
              <w:autoSpaceDE/>
              <w:autoSpaceDN/>
              <w:adjustRightInd/>
              <w:rPr>
                <w:color w:val="000000"/>
                <w:sz w:val="20"/>
                <w:szCs w:val="20"/>
              </w:rPr>
            </w:pPr>
            <w:r w:rsidRPr="003B3D6B">
              <w:rPr>
                <w:color w:val="000000"/>
                <w:sz w:val="20"/>
                <w:szCs w:val="20"/>
              </w:rPr>
              <w:t> </w:t>
            </w:r>
          </w:p>
        </w:tc>
        <w:tc>
          <w:tcPr>
            <w:tcW w:w="1170" w:type="dxa"/>
            <w:tcBorders>
              <w:top w:val="nil"/>
              <w:left w:val="nil"/>
              <w:bottom w:val="single" w:sz="8" w:space="0" w:color="auto"/>
              <w:right w:val="nil"/>
            </w:tcBorders>
            <w:shd w:val="clear" w:color="auto" w:fill="auto"/>
            <w:noWrap/>
            <w:vAlign w:val="bottom"/>
            <w:hideMark/>
          </w:tcPr>
          <w:p w14:paraId="4B747136" w14:textId="77777777" w:rsidR="003B3D6B" w:rsidRPr="003B3D6B" w:rsidRDefault="003B3D6B" w:rsidP="002C2583">
            <w:pPr>
              <w:keepNext/>
              <w:keepLines/>
              <w:widowControl/>
              <w:autoSpaceDE/>
              <w:autoSpaceDN/>
              <w:adjustRightInd/>
              <w:rPr>
                <w:color w:val="000000"/>
                <w:sz w:val="20"/>
                <w:szCs w:val="20"/>
              </w:rPr>
            </w:pPr>
            <w:r w:rsidRPr="003B3D6B">
              <w:rPr>
                <w:color w:val="000000"/>
                <w:sz w:val="20"/>
                <w:szCs w:val="20"/>
              </w:rPr>
              <w:t> </w:t>
            </w:r>
          </w:p>
        </w:tc>
        <w:tc>
          <w:tcPr>
            <w:tcW w:w="1228" w:type="dxa"/>
            <w:tcBorders>
              <w:top w:val="nil"/>
              <w:left w:val="nil"/>
              <w:bottom w:val="single" w:sz="8" w:space="0" w:color="auto"/>
              <w:right w:val="nil"/>
            </w:tcBorders>
            <w:shd w:val="clear" w:color="auto" w:fill="auto"/>
            <w:noWrap/>
            <w:vAlign w:val="bottom"/>
            <w:hideMark/>
          </w:tcPr>
          <w:p w14:paraId="4D28013A" w14:textId="77777777" w:rsidR="003B3D6B" w:rsidRPr="003B3D6B" w:rsidRDefault="003B3D6B" w:rsidP="002C2583">
            <w:pPr>
              <w:keepNext/>
              <w:keepLines/>
              <w:widowControl/>
              <w:autoSpaceDE/>
              <w:autoSpaceDN/>
              <w:adjustRightInd/>
              <w:rPr>
                <w:color w:val="000000"/>
                <w:sz w:val="20"/>
                <w:szCs w:val="20"/>
              </w:rPr>
            </w:pPr>
            <w:r w:rsidRPr="003B3D6B">
              <w:rPr>
                <w:color w:val="000000"/>
                <w:sz w:val="20"/>
                <w:szCs w:val="20"/>
              </w:rPr>
              <w:t> </w:t>
            </w:r>
          </w:p>
        </w:tc>
        <w:tc>
          <w:tcPr>
            <w:tcW w:w="1174" w:type="dxa"/>
            <w:tcBorders>
              <w:top w:val="nil"/>
              <w:left w:val="nil"/>
              <w:bottom w:val="single" w:sz="8" w:space="0" w:color="auto"/>
              <w:right w:val="nil"/>
            </w:tcBorders>
            <w:shd w:val="clear" w:color="auto" w:fill="auto"/>
            <w:noWrap/>
            <w:vAlign w:val="bottom"/>
            <w:hideMark/>
          </w:tcPr>
          <w:p w14:paraId="12C3FB65" w14:textId="77777777" w:rsidR="003B3D6B" w:rsidRPr="003B3D6B" w:rsidRDefault="003B3D6B" w:rsidP="002C2583">
            <w:pPr>
              <w:keepNext/>
              <w:keepLines/>
              <w:widowControl/>
              <w:autoSpaceDE/>
              <w:autoSpaceDN/>
              <w:adjustRightInd/>
              <w:rPr>
                <w:color w:val="000000"/>
                <w:sz w:val="20"/>
                <w:szCs w:val="20"/>
              </w:rPr>
            </w:pPr>
            <w:r w:rsidRPr="003B3D6B">
              <w:rPr>
                <w:color w:val="000000"/>
                <w:sz w:val="20"/>
                <w:szCs w:val="20"/>
              </w:rPr>
              <w:t> </w:t>
            </w:r>
          </w:p>
        </w:tc>
        <w:tc>
          <w:tcPr>
            <w:tcW w:w="1108" w:type="dxa"/>
            <w:tcBorders>
              <w:top w:val="nil"/>
              <w:left w:val="nil"/>
              <w:bottom w:val="single" w:sz="8" w:space="0" w:color="auto"/>
              <w:right w:val="nil"/>
            </w:tcBorders>
            <w:shd w:val="clear" w:color="auto" w:fill="auto"/>
            <w:noWrap/>
            <w:vAlign w:val="bottom"/>
            <w:hideMark/>
          </w:tcPr>
          <w:p w14:paraId="039005B2" w14:textId="77777777" w:rsidR="003B3D6B" w:rsidRPr="003B3D6B" w:rsidRDefault="003B3D6B" w:rsidP="002C2583">
            <w:pPr>
              <w:keepNext/>
              <w:keepLines/>
              <w:widowControl/>
              <w:autoSpaceDE/>
              <w:autoSpaceDN/>
              <w:adjustRightInd/>
              <w:rPr>
                <w:color w:val="000000"/>
                <w:sz w:val="20"/>
                <w:szCs w:val="20"/>
              </w:rPr>
            </w:pPr>
            <w:r w:rsidRPr="003B3D6B">
              <w:rPr>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bottom"/>
            <w:hideMark/>
          </w:tcPr>
          <w:p w14:paraId="47373363" w14:textId="77777777" w:rsidR="003B3D6B" w:rsidRPr="003B3D6B" w:rsidRDefault="003B3D6B" w:rsidP="002C2583">
            <w:pPr>
              <w:keepNext/>
              <w:keepLines/>
              <w:widowControl/>
              <w:autoSpaceDE/>
              <w:autoSpaceDN/>
              <w:adjustRightInd/>
              <w:rPr>
                <w:color w:val="000000"/>
                <w:sz w:val="20"/>
                <w:szCs w:val="20"/>
              </w:rPr>
            </w:pPr>
            <w:r w:rsidRPr="003B3D6B">
              <w:rPr>
                <w:color w:val="000000"/>
                <w:sz w:val="20"/>
                <w:szCs w:val="20"/>
              </w:rPr>
              <w:t> </w:t>
            </w:r>
          </w:p>
        </w:tc>
      </w:tr>
    </w:tbl>
    <w:p w14:paraId="498E1EDC" w14:textId="77777777" w:rsidR="00BB727A" w:rsidRDefault="003B3D6B" w:rsidP="002C2583">
      <w:pPr>
        <w:spacing w:line="480" w:lineRule="auto"/>
        <w:rPr>
          <w:b/>
        </w:rPr>
      </w:pPr>
      <w:r>
        <w:rPr>
          <w:b/>
        </w:rPr>
        <w:t>END CONFIDENTIAL&gt;&gt;</w:t>
      </w:r>
    </w:p>
    <w:p w14:paraId="6C42B762" w14:textId="77777777" w:rsidR="00BB727A" w:rsidRDefault="00EF0A1E" w:rsidP="002C2583">
      <w:pPr>
        <w:spacing w:line="480" w:lineRule="auto"/>
        <w:ind w:left="720" w:hanging="720"/>
        <w:rPr>
          <w:b/>
        </w:rPr>
      </w:pPr>
      <w:r>
        <w:rPr>
          <w:b/>
        </w:rPr>
        <w:t>Q:</w:t>
      </w:r>
      <w:r>
        <w:rPr>
          <w:b/>
        </w:rPr>
        <w:tab/>
        <w:t>Are there any S</w:t>
      </w:r>
      <w:r w:rsidR="00BB727A">
        <w:rPr>
          <w:b/>
        </w:rPr>
        <w:t>uppliers that have low complaint rates and prices on par with CL&amp;P and UI?</w:t>
      </w:r>
    </w:p>
    <w:p w14:paraId="56822628" w14:textId="77777777" w:rsidR="004A05D6" w:rsidRDefault="00BB727A" w:rsidP="002C2583">
      <w:pPr>
        <w:spacing w:line="480" w:lineRule="auto"/>
        <w:ind w:left="720" w:hanging="720"/>
      </w:pPr>
      <w:r>
        <w:t>A:</w:t>
      </w:r>
      <w:r>
        <w:tab/>
        <w:t xml:space="preserve">Yes.  </w:t>
      </w:r>
      <w:r w:rsidR="00A85490">
        <w:t>Confidential Table C-2</w:t>
      </w:r>
      <w:r w:rsidR="0055710F">
        <w:t>2</w:t>
      </w:r>
      <w:r w:rsidR="007707A3">
        <w:t xml:space="preserve"> table below provides a list of </w:t>
      </w:r>
      <w:r w:rsidR="00E823FB">
        <w:t>S</w:t>
      </w:r>
      <w:r w:rsidR="00F41716">
        <w:t xml:space="preserve">uppliers with low complaint ratios and rates comparable to CL&amp;P and UI.  </w:t>
      </w:r>
    </w:p>
    <w:p w14:paraId="59FEBA9A" w14:textId="77777777" w:rsidR="004A05D6" w:rsidRDefault="005D1627" w:rsidP="002C2583">
      <w:pPr>
        <w:ind w:left="720" w:hanging="720"/>
        <w:jc w:val="center"/>
        <w:rPr>
          <w:b/>
        </w:rPr>
      </w:pPr>
      <w:r>
        <w:rPr>
          <w:b/>
        </w:rPr>
        <w:t xml:space="preserve">Confidential </w:t>
      </w:r>
      <w:r w:rsidR="004A05D6">
        <w:rPr>
          <w:b/>
        </w:rPr>
        <w:t xml:space="preserve">Table </w:t>
      </w:r>
      <w:r>
        <w:rPr>
          <w:b/>
        </w:rPr>
        <w:t>C</w:t>
      </w:r>
      <w:r w:rsidR="00A85490">
        <w:rPr>
          <w:b/>
        </w:rPr>
        <w:t>-2</w:t>
      </w:r>
      <w:r w:rsidR="0055710F">
        <w:rPr>
          <w:b/>
        </w:rPr>
        <w:t>2</w:t>
      </w:r>
      <w:r w:rsidR="00BD2161">
        <w:rPr>
          <w:rStyle w:val="FootnoteReference"/>
          <w:b/>
        </w:rPr>
        <w:footnoteReference w:id="65"/>
      </w:r>
    </w:p>
    <w:p w14:paraId="1C497945" w14:textId="77777777" w:rsidR="005D1627" w:rsidRDefault="005D1627" w:rsidP="002C2583">
      <w:pPr>
        <w:keepNext/>
        <w:keepLines/>
        <w:ind w:left="720" w:right="720" w:hanging="720"/>
        <w:jc w:val="center"/>
        <w:rPr>
          <w:b/>
        </w:rPr>
      </w:pPr>
      <w:r>
        <w:rPr>
          <w:b/>
        </w:rPr>
        <w:t>Suppliers with Low Rates and Low Complaint Ratios</w:t>
      </w:r>
    </w:p>
    <w:p w14:paraId="49BDFEF1" w14:textId="77777777" w:rsidR="007707A3" w:rsidRDefault="007707A3" w:rsidP="002C2583">
      <w:pPr>
        <w:spacing w:line="480" w:lineRule="auto"/>
        <w:ind w:left="720" w:hanging="720"/>
        <w:rPr>
          <w:b/>
        </w:rPr>
      </w:pPr>
      <w:r>
        <w:rPr>
          <w:b/>
        </w:rPr>
        <w:t>&lt;&lt;BEGIN CONFIDENTIAL</w:t>
      </w:r>
    </w:p>
    <w:tbl>
      <w:tblPr>
        <w:tblW w:w="9302" w:type="dxa"/>
        <w:tblInd w:w="93" w:type="dxa"/>
        <w:tblLayout w:type="fixed"/>
        <w:tblLook w:val="04A0" w:firstRow="1" w:lastRow="0" w:firstColumn="1" w:lastColumn="0" w:noHBand="0" w:noVBand="1"/>
      </w:tblPr>
      <w:tblGrid>
        <w:gridCol w:w="2535"/>
        <w:gridCol w:w="1139"/>
        <w:gridCol w:w="1128"/>
        <w:gridCol w:w="1160"/>
        <w:gridCol w:w="1140"/>
        <w:gridCol w:w="1060"/>
        <w:gridCol w:w="1140"/>
      </w:tblGrid>
      <w:tr w:rsidR="007707A3" w:rsidRPr="007707A3" w14:paraId="07919477" w14:textId="77777777" w:rsidTr="00355526">
        <w:trPr>
          <w:trHeight w:val="1220"/>
        </w:trPr>
        <w:tc>
          <w:tcPr>
            <w:tcW w:w="2535" w:type="dxa"/>
            <w:tcBorders>
              <w:top w:val="single" w:sz="8" w:space="0" w:color="auto"/>
              <w:left w:val="single" w:sz="8" w:space="0" w:color="auto"/>
              <w:bottom w:val="single" w:sz="8" w:space="0" w:color="auto"/>
              <w:right w:val="nil"/>
            </w:tcBorders>
            <w:shd w:val="clear" w:color="auto" w:fill="404040" w:themeFill="text1" w:themeFillTint="BF"/>
            <w:noWrap/>
            <w:vAlign w:val="center"/>
          </w:tcPr>
          <w:p w14:paraId="18EA4A35" w14:textId="2AB0CAE9" w:rsidR="007707A3" w:rsidRPr="007707A3" w:rsidRDefault="007707A3" w:rsidP="002C2583">
            <w:pPr>
              <w:widowControl/>
              <w:autoSpaceDE/>
              <w:autoSpaceDN/>
              <w:adjustRightInd/>
              <w:jc w:val="center"/>
              <w:rPr>
                <w:b/>
                <w:bCs/>
                <w:color w:val="000000"/>
                <w:sz w:val="20"/>
                <w:szCs w:val="20"/>
              </w:rPr>
            </w:pPr>
          </w:p>
        </w:tc>
        <w:tc>
          <w:tcPr>
            <w:tcW w:w="1139" w:type="dxa"/>
            <w:tcBorders>
              <w:top w:val="single" w:sz="8" w:space="0" w:color="auto"/>
              <w:left w:val="nil"/>
              <w:bottom w:val="single" w:sz="8" w:space="0" w:color="auto"/>
              <w:right w:val="nil"/>
            </w:tcBorders>
            <w:shd w:val="clear" w:color="auto" w:fill="404040" w:themeFill="text1" w:themeFillTint="BF"/>
            <w:vAlign w:val="center"/>
          </w:tcPr>
          <w:p w14:paraId="6F2D80E2" w14:textId="68D0BB5D" w:rsidR="007707A3" w:rsidRPr="007707A3" w:rsidRDefault="007707A3" w:rsidP="002C2583">
            <w:pPr>
              <w:widowControl/>
              <w:autoSpaceDE/>
              <w:autoSpaceDN/>
              <w:adjustRightInd/>
              <w:jc w:val="center"/>
              <w:rPr>
                <w:b/>
                <w:bCs/>
                <w:sz w:val="20"/>
                <w:szCs w:val="20"/>
              </w:rPr>
            </w:pPr>
          </w:p>
        </w:tc>
        <w:tc>
          <w:tcPr>
            <w:tcW w:w="1128" w:type="dxa"/>
            <w:tcBorders>
              <w:top w:val="single" w:sz="8" w:space="0" w:color="auto"/>
              <w:left w:val="nil"/>
              <w:bottom w:val="single" w:sz="8" w:space="0" w:color="auto"/>
              <w:right w:val="nil"/>
            </w:tcBorders>
            <w:shd w:val="clear" w:color="auto" w:fill="404040" w:themeFill="text1" w:themeFillTint="BF"/>
            <w:vAlign w:val="center"/>
          </w:tcPr>
          <w:p w14:paraId="3FB64FB1" w14:textId="2BC2BCC6" w:rsidR="007707A3" w:rsidRPr="007707A3" w:rsidRDefault="007707A3" w:rsidP="002C2583">
            <w:pPr>
              <w:widowControl/>
              <w:autoSpaceDE/>
              <w:autoSpaceDN/>
              <w:adjustRightInd/>
              <w:jc w:val="center"/>
              <w:rPr>
                <w:b/>
                <w:bCs/>
                <w:color w:val="000000"/>
                <w:sz w:val="20"/>
                <w:szCs w:val="20"/>
              </w:rPr>
            </w:pPr>
          </w:p>
        </w:tc>
        <w:tc>
          <w:tcPr>
            <w:tcW w:w="1160" w:type="dxa"/>
            <w:tcBorders>
              <w:top w:val="single" w:sz="8" w:space="0" w:color="auto"/>
              <w:left w:val="nil"/>
              <w:bottom w:val="single" w:sz="8" w:space="0" w:color="auto"/>
              <w:right w:val="nil"/>
            </w:tcBorders>
            <w:shd w:val="clear" w:color="auto" w:fill="404040" w:themeFill="text1" w:themeFillTint="BF"/>
            <w:vAlign w:val="center"/>
          </w:tcPr>
          <w:p w14:paraId="501C213A" w14:textId="5AE8B05D" w:rsidR="007707A3" w:rsidRPr="007707A3" w:rsidRDefault="007707A3" w:rsidP="002C2583">
            <w:pPr>
              <w:widowControl/>
              <w:autoSpaceDE/>
              <w:autoSpaceDN/>
              <w:adjustRightInd/>
              <w:jc w:val="center"/>
              <w:rPr>
                <w:b/>
                <w:bCs/>
                <w:color w:val="000000"/>
                <w:sz w:val="20"/>
                <w:szCs w:val="20"/>
              </w:rPr>
            </w:pPr>
          </w:p>
        </w:tc>
        <w:tc>
          <w:tcPr>
            <w:tcW w:w="1140" w:type="dxa"/>
            <w:tcBorders>
              <w:top w:val="single" w:sz="8" w:space="0" w:color="auto"/>
              <w:left w:val="nil"/>
              <w:bottom w:val="single" w:sz="8" w:space="0" w:color="auto"/>
              <w:right w:val="nil"/>
            </w:tcBorders>
            <w:shd w:val="clear" w:color="auto" w:fill="404040" w:themeFill="text1" w:themeFillTint="BF"/>
            <w:vAlign w:val="center"/>
          </w:tcPr>
          <w:p w14:paraId="6233856F" w14:textId="7DEF2844" w:rsidR="007707A3" w:rsidRPr="007707A3" w:rsidRDefault="007707A3" w:rsidP="002C2583">
            <w:pPr>
              <w:widowControl/>
              <w:autoSpaceDE/>
              <w:autoSpaceDN/>
              <w:adjustRightInd/>
              <w:jc w:val="center"/>
              <w:rPr>
                <w:b/>
                <w:bCs/>
                <w:color w:val="000000"/>
                <w:sz w:val="20"/>
                <w:szCs w:val="20"/>
              </w:rPr>
            </w:pPr>
          </w:p>
        </w:tc>
        <w:tc>
          <w:tcPr>
            <w:tcW w:w="1060" w:type="dxa"/>
            <w:tcBorders>
              <w:top w:val="single" w:sz="8" w:space="0" w:color="auto"/>
              <w:left w:val="nil"/>
              <w:bottom w:val="single" w:sz="8" w:space="0" w:color="auto"/>
              <w:right w:val="nil"/>
            </w:tcBorders>
            <w:shd w:val="clear" w:color="auto" w:fill="404040" w:themeFill="text1" w:themeFillTint="BF"/>
            <w:vAlign w:val="center"/>
          </w:tcPr>
          <w:p w14:paraId="6D92EB95" w14:textId="6926509B" w:rsidR="007707A3" w:rsidRPr="007707A3" w:rsidRDefault="007707A3" w:rsidP="002C2583">
            <w:pPr>
              <w:widowControl/>
              <w:autoSpaceDE/>
              <w:autoSpaceDN/>
              <w:adjustRightInd/>
              <w:jc w:val="center"/>
              <w:rPr>
                <w:b/>
                <w:bCs/>
                <w:color w:val="000000"/>
                <w:sz w:val="20"/>
                <w:szCs w:val="20"/>
              </w:rPr>
            </w:pPr>
          </w:p>
        </w:tc>
        <w:tc>
          <w:tcPr>
            <w:tcW w:w="1140" w:type="dxa"/>
            <w:tcBorders>
              <w:top w:val="single" w:sz="8" w:space="0" w:color="auto"/>
              <w:left w:val="nil"/>
              <w:bottom w:val="single" w:sz="8" w:space="0" w:color="auto"/>
              <w:right w:val="single" w:sz="8" w:space="0" w:color="auto"/>
            </w:tcBorders>
            <w:shd w:val="clear" w:color="auto" w:fill="404040" w:themeFill="text1" w:themeFillTint="BF"/>
            <w:vAlign w:val="center"/>
          </w:tcPr>
          <w:p w14:paraId="3864A16D" w14:textId="2F0836AD" w:rsidR="007707A3" w:rsidRPr="007707A3" w:rsidRDefault="007707A3" w:rsidP="002C2583">
            <w:pPr>
              <w:widowControl/>
              <w:autoSpaceDE/>
              <w:autoSpaceDN/>
              <w:adjustRightInd/>
              <w:jc w:val="center"/>
              <w:rPr>
                <w:b/>
                <w:bCs/>
                <w:color w:val="000000"/>
                <w:sz w:val="20"/>
                <w:szCs w:val="20"/>
              </w:rPr>
            </w:pPr>
          </w:p>
        </w:tc>
      </w:tr>
      <w:tr w:rsidR="007707A3" w:rsidRPr="007707A3" w14:paraId="71637A34"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76F93FBE" w14:textId="4D608FD2" w:rsidR="007707A3" w:rsidRPr="007707A3" w:rsidRDefault="007707A3" w:rsidP="002C2583">
            <w:pPr>
              <w:widowControl/>
              <w:autoSpaceDE/>
              <w:autoSpaceDN/>
              <w:adjustRightInd/>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530F43CC" w14:textId="77777777" w:rsidR="007707A3" w:rsidRPr="007707A3" w:rsidRDefault="007707A3" w:rsidP="002C2583">
            <w:pPr>
              <w:widowControl/>
              <w:autoSpaceDE/>
              <w:autoSpaceDN/>
              <w:adjustRightInd/>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0BA8D8FB" w14:textId="77777777" w:rsidR="007707A3" w:rsidRPr="007707A3" w:rsidRDefault="007707A3" w:rsidP="002C2583">
            <w:pPr>
              <w:widowControl/>
              <w:autoSpaceDE/>
              <w:autoSpaceDN/>
              <w:adjustRightInd/>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6798CFED" w14:textId="77777777" w:rsidR="007707A3" w:rsidRPr="007707A3" w:rsidRDefault="007707A3" w:rsidP="002C2583">
            <w:pPr>
              <w:widowControl/>
              <w:autoSpaceDE/>
              <w:autoSpaceDN/>
              <w:adjustRightInd/>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6C6DA085" w14:textId="77777777" w:rsidR="007707A3" w:rsidRPr="007707A3" w:rsidRDefault="007707A3" w:rsidP="002C2583">
            <w:pPr>
              <w:widowControl/>
              <w:autoSpaceDE/>
              <w:autoSpaceDN/>
              <w:adjustRightInd/>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44B3FDF6" w14:textId="77777777" w:rsidR="007707A3" w:rsidRPr="007707A3" w:rsidRDefault="007707A3" w:rsidP="002C2583">
            <w:pPr>
              <w:widowControl/>
              <w:autoSpaceDE/>
              <w:autoSpaceDN/>
              <w:adjustRightInd/>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482292B8" w14:textId="5B65043D" w:rsidR="007707A3" w:rsidRPr="007707A3" w:rsidRDefault="007707A3" w:rsidP="002C2583">
            <w:pPr>
              <w:widowControl/>
              <w:autoSpaceDE/>
              <w:autoSpaceDN/>
              <w:adjustRightInd/>
              <w:rPr>
                <w:color w:val="000000"/>
                <w:sz w:val="20"/>
                <w:szCs w:val="20"/>
              </w:rPr>
            </w:pPr>
          </w:p>
        </w:tc>
      </w:tr>
      <w:tr w:rsidR="007707A3" w:rsidRPr="007707A3" w14:paraId="74809946"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1054032C" w14:textId="28665ECD" w:rsidR="007707A3" w:rsidRPr="007707A3" w:rsidRDefault="007707A3" w:rsidP="002C2583">
            <w:pPr>
              <w:widowControl/>
              <w:autoSpaceDE/>
              <w:autoSpaceDN/>
              <w:adjustRightInd/>
              <w:spacing w:line="360" w:lineRule="auto"/>
              <w:ind w:firstLineChars="43" w:firstLine="86"/>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020A6037" w14:textId="2B20E7B9" w:rsidR="007707A3" w:rsidRPr="007707A3" w:rsidRDefault="007707A3" w:rsidP="009929F1">
            <w:pPr>
              <w:widowControl/>
              <w:autoSpaceDE/>
              <w:autoSpaceDN/>
              <w:adjustRightInd/>
              <w:spacing w:line="360" w:lineRule="auto"/>
              <w:ind w:left="-313" w:firstLine="313"/>
              <w:jc w:val="right"/>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6319DE6B" w14:textId="5E5983C4" w:rsidR="007707A3" w:rsidRPr="007707A3" w:rsidRDefault="007707A3" w:rsidP="002C2583">
            <w:pPr>
              <w:widowControl/>
              <w:autoSpaceDE/>
              <w:autoSpaceDN/>
              <w:adjustRightInd/>
              <w:spacing w:line="360" w:lineRule="auto"/>
              <w:jc w:val="right"/>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727690CD" w14:textId="27FE358F"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499E08D3" w14:textId="48C4264D" w:rsidR="007707A3" w:rsidRPr="007707A3" w:rsidRDefault="007707A3" w:rsidP="002C2583">
            <w:pPr>
              <w:widowControl/>
              <w:autoSpaceDE/>
              <w:autoSpaceDN/>
              <w:adjustRightInd/>
              <w:spacing w:line="360" w:lineRule="auto"/>
              <w:jc w:val="right"/>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4EC56656" w14:textId="4A30AF5C"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05F3C95D" w14:textId="0C7A4834" w:rsidR="007707A3" w:rsidRPr="007707A3" w:rsidRDefault="007707A3" w:rsidP="002C2583">
            <w:pPr>
              <w:widowControl/>
              <w:autoSpaceDE/>
              <w:autoSpaceDN/>
              <w:adjustRightInd/>
              <w:spacing w:line="360" w:lineRule="auto"/>
              <w:jc w:val="right"/>
              <w:rPr>
                <w:color w:val="000000"/>
                <w:sz w:val="20"/>
                <w:szCs w:val="20"/>
              </w:rPr>
            </w:pPr>
          </w:p>
        </w:tc>
      </w:tr>
      <w:tr w:rsidR="007707A3" w:rsidRPr="007707A3" w14:paraId="580FC60B"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0484FDE1" w14:textId="78B86B53" w:rsidR="007707A3" w:rsidRPr="007707A3" w:rsidRDefault="007707A3" w:rsidP="002C2583">
            <w:pPr>
              <w:widowControl/>
              <w:autoSpaceDE/>
              <w:autoSpaceDN/>
              <w:adjustRightInd/>
              <w:spacing w:line="360" w:lineRule="auto"/>
              <w:ind w:firstLineChars="43" w:firstLine="86"/>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7D0C667E" w14:textId="73AE1715" w:rsidR="007707A3" w:rsidRPr="007707A3" w:rsidRDefault="007707A3" w:rsidP="002C2583">
            <w:pPr>
              <w:widowControl/>
              <w:autoSpaceDE/>
              <w:autoSpaceDN/>
              <w:adjustRightInd/>
              <w:spacing w:line="360" w:lineRule="auto"/>
              <w:jc w:val="right"/>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5FC4F418" w14:textId="52647A21" w:rsidR="007707A3" w:rsidRPr="007707A3" w:rsidRDefault="007707A3" w:rsidP="002C2583">
            <w:pPr>
              <w:widowControl/>
              <w:autoSpaceDE/>
              <w:autoSpaceDN/>
              <w:adjustRightInd/>
              <w:spacing w:line="360" w:lineRule="auto"/>
              <w:jc w:val="right"/>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21D53488" w14:textId="7439399F"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0B4D09E5" w14:textId="473C6D48" w:rsidR="007707A3" w:rsidRPr="007707A3" w:rsidRDefault="007707A3" w:rsidP="002C2583">
            <w:pPr>
              <w:widowControl/>
              <w:autoSpaceDE/>
              <w:autoSpaceDN/>
              <w:adjustRightInd/>
              <w:spacing w:line="360" w:lineRule="auto"/>
              <w:jc w:val="right"/>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25814A6B" w14:textId="5F9DE3E3"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6C10B57F" w14:textId="7A4FB9F5" w:rsidR="007707A3" w:rsidRPr="007707A3" w:rsidRDefault="007707A3" w:rsidP="002C2583">
            <w:pPr>
              <w:widowControl/>
              <w:autoSpaceDE/>
              <w:autoSpaceDN/>
              <w:adjustRightInd/>
              <w:spacing w:line="360" w:lineRule="auto"/>
              <w:jc w:val="right"/>
              <w:rPr>
                <w:color w:val="000000"/>
                <w:sz w:val="20"/>
                <w:szCs w:val="20"/>
              </w:rPr>
            </w:pPr>
          </w:p>
        </w:tc>
      </w:tr>
      <w:tr w:rsidR="007707A3" w:rsidRPr="007707A3" w14:paraId="55FD7FC5"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702D660A" w14:textId="60C08042" w:rsidR="007707A3" w:rsidRPr="007707A3" w:rsidRDefault="007707A3" w:rsidP="002C2583">
            <w:pPr>
              <w:widowControl/>
              <w:autoSpaceDE/>
              <w:autoSpaceDN/>
              <w:adjustRightInd/>
              <w:spacing w:line="360" w:lineRule="auto"/>
              <w:ind w:firstLineChars="43" w:firstLine="86"/>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18B089DE" w14:textId="7017EBDD" w:rsidR="007707A3" w:rsidRPr="007707A3" w:rsidRDefault="007707A3" w:rsidP="002C2583">
            <w:pPr>
              <w:widowControl/>
              <w:autoSpaceDE/>
              <w:autoSpaceDN/>
              <w:adjustRightInd/>
              <w:spacing w:line="360" w:lineRule="auto"/>
              <w:jc w:val="right"/>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47A5C36B" w14:textId="1D3AB3FE" w:rsidR="007707A3" w:rsidRPr="007707A3" w:rsidRDefault="007707A3" w:rsidP="002C2583">
            <w:pPr>
              <w:widowControl/>
              <w:autoSpaceDE/>
              <w:autoSpaceDN/>
              <w:adjustRightInd/>
              <w:spacing w:line="360" w:lineRule="auto"/>
              <w:jc w:val="right"/>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3D46BB6F" w14:textId="67E026BB"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5D9169D0" w14:textId="4F721D70" w:rsidR="007707A3" w:rsidRPr="007707A3" w:rsidRDefault="007707A3" w:rsidP="002C2583">
            <w:pPr>
              <w:widowControl/>
              <w:autoSpaceDE/>
              <w:autoSpaceDN/>
              <w:adjustRightInd/>
              <w:spacing w:line="360" w:lineRule="auto"/>
              <w:jc w:val="right"/>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2E953E42" w14:textId="7CC93E90"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2E8240D2" w14:textId="55FA422B" w:rsidR="007707A3" w:rsidRPr="007707A3" w:rsidRDefault="007707A3" w:rsidP="002C2583">
            <w:pPr>
              <w:widowControl/>
              <w:autoSpaceDE/>
              <w:autoSpaceDN/>
              <w:adjustRightInd/>
              <w:spacing w:line="360" w:lineRule="auto"/>
              <w:jc w:val="right"/>
              <w:rPr>
                <w:color w:val="000000"/>
                <w:sz w:val="20"/>
                <w:szCs w:val="20"/>
              </w:rPr>
            </w:pPr>
          </w:p>
        </w:tc>
      </w:tr>
      <w:tr w:rsidR="007707A3" w:rsidRPr="007707A3" w14:paraId="663FA101"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791B8D58" w14:textId="50845A04" w:rsidR="007707A3" w:rsidRPr="007707A3" w:rsidRDefault="007707A3" w:rsidP="002C2583">
            <w:pPr>
              <w:widowControl/>
              <w:autoSpaceDE/>
              <w:autoSpaceDN/>
              <w:adjustRightInd/>
              <w:spacing w:line="360" w:lineRule="auto"/>
              <w:ind w:firstLineChars="43" w:firstLine="86"/>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310A4E93" w14:textId="0ACC0910" w:rsidR="007707A3" w:rsidRPr="007707A3" w:rsidRDefault="007707A3" w:rsidP="002C2583">
            <w:pPr>
              <w:widowControl/>
              <w:autoSpaceDE/>
              <w:autoSpaceDN/>
              <w:adjustRightInd/>
              <w:spacing w:line="360" w:lineRule="auto"/>
              <w:jc w:val="right"/>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73751C90" w14:textId="4A787923" w:rsidR="007707A3" w:rsidRPr="007707A3" w:rsidRDefault="007707A3" w:rsidP="002C2583">
            <w:pPr>
              <w:widowControl/>
              <w:autoSpaceDE/>
              <w:autoSpaceDN/>
              <w:adjustRightInd/>
              <w:spacing w:line="360" w:lineRule="auto"/>
              <w:jc w:val="right"/>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6ED5C53C" w14:textId="2B572D7A"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19FC71A1" w14:textId="6007EE8B" w:rsidR="007707A3" w:rsidRPr="007707A3" w:rsidRDefault="007707A3" w:rsidP="002C2583">
            <w:pPr>
              <w:widowControl/>
              <w:autoSpaceDE/>
              <w:autoSpaceDN/>
              <w:adjustRightInd/>
              <w:spacing w:line="360" w:lineRule="auto"/>
              <w:jc w:val="right"/>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049FF772" w14:textId="6B0CAAF8"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07E48E9C" w14:textId="5405514C" w:rsidR="007707A3" w:rsidRPr="007707A3" w:rsidRDefault="007707A3" w:rsidP="002C2583">
            <w:pPr>
              <w:widowControl/>
              <w:autoSpaceDE/>
              <w:autoSpaceDN/>
              <w:adjustRightInd/>
              <w:spacing w:line="360" w:lineRule="auto"/>
              <w:jc w:val="right"/>
              <w:rPr>
                <w:color w:val="000000"/>
                <w:sz w:val="20"/>
                <w:szCs w:val="20"/>
              </w:rPr>
            </w:pPr>
          </w:p>
        </w:tc>
      </w:tr>
      <w:tr w:rsidR="007707A3" w:rsidRPr="007707A3" w14:paraId="189552FE"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32109541" w14:textId="0AEAA912" w:rsidR="007707A3" w:rsidRPr="007707A3" w:rsidRDefault="007707A3" w:rsidP="002C2583">
            <w:pPr>
              <w:widowControl/>
              <w:autoSpaceDE/>
              <w:autoSpaceDN/>
              <w:adjustRightInd/>
              <w:spacing w:line="360" w:lineRule="auto"/>
              <w:ind w:firstLineChars="43" w:firstLine="86"/>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413ABC0D" w14:textId="3A84923B" w:rsidR="007707A3" w:rsidRPr="007707A3" w:rsidRDefault="007707A3" w:rsidP="002C2583">
            <w:pPr>
              <w:widowControl/>
              <w:autoSpaceDE/>
              <w:autoSpaceDN/>
              <w:adjustRightInd/>
              <w:spacing w:line="360" w:lineRule="auto"/>
              <w:jc w:val="right"/>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054D059C" w14:textId="6065C006" w:rsidR="007707A3" w:rsidRPr="007707A3" w:rsidRDefault="007707A3" w:rsidP="002C2583">
            <w:pPr>
              <w:widowControl/>
              <w:autoSpaceDE/>
              <w:autoSpaceDN/>
              <w:adjustRightInd/>
              <w:spacing w:line="360" w:lineRule="auto"/>
              <w:jc w:val="right"/>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76DCDEB3" w14:textId="02C52694"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12587F9A" w14:textId="456D077D" w:rsidR="007707A3" w:rsidRPr="007707A3" w:rsidRDefault="007707A3" w:rsidP="002C2583">
            <w:pPr>
              <w:widowControl/>
              <w:autoSpaceDE/>
              <w:autoSpaceDN/>
              <w:adjustRightInd/>
              <w:spacing w:line="360" w:lineRule="auto"/>
              <w:jc w:val="right"/>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6823F31C" w14:textId="04E7A336"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463273E8" w14:textId="007E35EE" w:rsidR="007707A3" w:rsidRPr="007707A3" w:rsidRDefault="007707A3" w:rsidP="002C2583">
            <w:pPr>
              <w:widowControl/>
              <w:autoSpaceDE/>
              <w:autoSpaceDN/>
              <w:adjustRightInd/>
              <w:spacing w:line="360" w:lineRule="auto"/>
              <w:jc w:val="right"/>
              <w:rPr>
                <w:color w:val="000000"/>
                <w:sz w:val="20"/>
                <w:szCs w:val="20"/>
              </w:rPr>
            </w:pPr>
          </w:p>
        </w:tc>
      </w:tr>
      <w:tr w:rsidR="007707A3" w:rsidRPr="007707A3" w14:paraId="524A29B7"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339D873B" w14:textId="481AFFD5" w:rsidR="007707A3" w:rsidRPr="007707A3" w:rsidRDefault="007707A3" w:rsidP="002C2583">
            <w:pPr>
              <w:widowControl/>
              <w:autoSpaceDE/>
              <w:autoSpaceDN/>
              <w:adjustRightInd/>
              <w:spacing w:line="360" w:lineRule="auto"/>
              <w:ind w:firstLineChars="43" w:firstLine="86"/>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3D59BBAC" w14:textId="3393CC8D" w:rsidR="007707A3" w:rsidRPr="007707A3" w:rsidRDefault="007707A3" w:rsidP="002C2583">
            <w:pPr>
              <w:widowControl/>
              <w:autoSpaceDE/>
              <w:autoSpaceDN/>
              <w:adjustRightInd/>
              <w:spacing w:line="360" w:lineRule="auto"/>
              <w:jc w:val="right"/>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36819C23" w14:textId="30B53A8C" w:rsidR="007707A3" w:rsidRPr="007707A3" w:rsidRDefault="007707A3" w:rsidP="002C2583">
            <w:pPr>
              <w:widowControl/>
              <w:autoSpaceDE/>
              <w:autoSpaceDN/>
              <w:adjustRightInd/>
              <w:spacing w:line="360" w:lineRule="auto"/>
              <w:jc w:val="right"/>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254FBEB6" w14:textId="4C63EE2E"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7F541757" w14:textId="705372B1" w:rsidR="007707A3" w:rsidRPr="007707A3" w:rsidRDefault="007707A3" w:rsidP="002C2583">
            <w:pPr>
              <w:widowControl/>
              <w:autoSpaceDE/>
              <w:autoSpaceDN/>
              <w:adjustRightInd/>
              <w:spacing w:line="360" w:lineRule="auto"/>
              <w:jc w:val="right"/>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581072E5" w14:textId="1EC7C168" w:rsidR="007707A3" w:rsidRPr="007707A3" w:rsidRDefault="007707A3" w:rsidP="002C2583">
            <w:pPr>
              <w:widowControl/>
              <w:autoSpaceDE/>
              <w:autoSpaceDN/>
              <w:adjustRightInd/>
              <w:spacing w:line="360" w:lineRule="auto"/>
              <w:jc w:val="right"/>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0A1492A3" w14:textId="6764BD87" w:rsidR="007707A3" w:rsidRPr="007707A3" w:rsidRDefault="007707A3" w:rsidP="002C2583">
            <w:pPr>
              <w:widowControl/>
              <w:autoSpaceDE/>
              <w:autoSpaceDN/>
              <w:adjustRightInd/>
              <w:spacing w:line="360" w:lineRule="auto"/>
              <w:jc w:val="right"/>
              <w:rPr>
                <w:color w:val="000000"/>
                <w:sz w:val="20"/>
                <w:szCs w:val="20"/>
              </w:rPr>
            </w:pPr>
          </w:p>
        </w:tc>
      </w:tr>
      <w:tr w:rsidR="007707A3" w:rsidRPr="007707A3" w14:paraId="3F6890A7" w14:textId="77777777" w:rsidTr="00355526">
        <w:trPr>
          <w:trHeight w:val="160"/>
        </w:trPr>
        <w:tc>
          <w:tcPr>
            <w:tcW w:w="2535" w:type="dxa"/>
            <w:tcBorders>
              <w:top w:val="nil"/>
              <w:left w:val="single" w:sz="8" w:space="0" w:color="auto"/>
              <w:bottom w:val="nil"/>
              <w:right w:val="nil"/>
            </w:tcBorders>
            <w:shd w:val="clear" w:color="auto" w:fill="404040" w:themeFill="text1" w:themeFillTint="BF"/>
            <w:noWrap/>
            <w:vAlign w:val="bottom"/>
          </w:tcPr>
          <w:p w14:paraId="022F3BA8" w14:textId="6ECC3E54" w:rsidR="007707A3" w:rsidRPr="007707A3" w:rsidRDefault="007707A3" w:rsidP="002C2583">
            <w:pPr>
              <w:widowControl/>
              <w:autoSpaceDE/>
              <w:autoSpaceDN/>
              <w:adjustRightInd/>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69105E44" w14:textId="77777777" w:rsidR="007707A3" w:rsidRPr="007707A3" w:rsidRDefault="007707A3" w:rsidP="002C2583">
            <w:pPr>
              <w:widowControl/>
              <w:autoSpaceDE/>
              <w:autoSpaceDN/>
              <w:adjustRightInd/>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33FD466D" w14:textId="77777777" w:rsidR="007707A3" w:rsidRPr="007707A3" w:rsidRDefault="007707A3" w:rsidP="002C2583">
            <w:pPr>
              <w:widowControl/>
              <w:autoSpaceDE/>
              <w:autoSpaceDN/>
              <w:adjustRightInd/>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16838769" w14:textId="77777777" w:rsidR="007707A3" w:rsidRPr="007707A3" w:rsidRDefault="007707A3" w:rsidP="002C2583">
            <w:pPr>
              <w:widowControl/>
              <w:autoSpaceDE/>
              <w:autoSpaceDN/>
              <w:adjustRightInd/>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4EEE8961" w14:textId="77777777" w:rsidR="007707A3" w:rsidRPr="007707A3" w:rsidRDefault="007707A3" w:rsidP="002C2583">
            <w:pPr>
              <w:widowControl/>
              <w:autoSpaceDE/>
              <w:autoSpaceDN/>
              <w:adjustRightInd/>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30193DF5" w14:textId="77777777" w:rsidR="007707A3" w:rsidRPr="007707A3" w:rsidRDefault="007707A3" w:rsidP="002C2583">
            <w:pPr>
              <w:widowControl/>
              <w:autoSpaceDE/>
              <w:autoSpaceDN/>
              <w:adjustRightInd/>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536AB32C" w14:textId="4ED57A93" w:rsidR="007707A3" w:rsidRPr="007707A3" w:rsidRDefault="007707A3" w:rsidP="002C2583">
            <w:pPr>
              <w:widowControl/>
              <w:autoSpaceDE/>
              <w:autoSpaceDN/>
              <w:adjustRightInd/>
              <w:rPr>
                <w:color w:val="000000"/>
                <w:sz w:val="20"/>
                <w:szCs w:val="20"/>
              </w:rPr>
            </w:pPr>
          </w:p>
        </w:tc>
      </w:tr>
      <w:tr w:rsidR="007707A3" w:rsidRPr="007707A3" w14:paraId="30429F39" w14:textId="77777777" w:rsidTr="00355526">
        <w:trPr>
          <w:trHeight w:val="280"/>
        </w:trPr>
        <w:tc>
          <w:tcPr>
            <w:tcW w:w="2535" w:type="dxa"/>
            <w:tcBorders>
              <w:top w:val="nil"/>
              <w:left w:val="single" w:sz="8" w:space="0" w:color="auto"/>
              <w:bottom w:val="nil"/>
              <w:right w:val="nil"/>
            </w:tcBorders>
            <w:shd w:val="clear" w:color="auto" w:fill="404040" w:themeFill="text1" w:themeFillTint="BF"/>
            <w:noWrap/>
            <w:vAlign w:val="bottom"/>
          </w:tcPr>
          <w:p w14:paraId="29821F33" w14:textId="45F16CB5" w:rsidR="007707A3" w:rsidRPr="007707A3" w:rsidRDefault="007707A3" w:rsidP="002C2583">
            <w:pPr>
              <w:widowControl/>
              <w:autoSpaceDE/>
              <w:autoSpaceDN/>
              <w:adjustRightInd/>
              <w:ind w:firstLineChars="100" w:firstLine="200"/>
              <w:rPr>
                <w:color w:val="000000"/>
                <w:sz w:val="20"/>
                <w:szCs w:val="20"/>
              </w:rPr>
            </w:pPr>
          </w:p>
        </w:tc>
        <w:tc>
          <w:tcPr>
            <w:tcW w:w="1139" w:type="dxa"/>
            <w:tcBorders>
              <w:top w:val="nil"/>
              <w:left w:val="nil"/>
              <w:bottom w:val="nil"/>
              <w:right w:val="nil"/>
            </w:tcBorders>
            <w:shd w:val="clear" w:color="auto" w:fill="404040" w:themeFill="text1" w:themeFillTint="BF"/>
            <w:noWrap/>
            <w:vAlign w:val="bottom"/>
          </w:tcPr>
          <w:p w14:paraId="7FF3BAC5" w14:textId="77777777" w:rsidR="007707A3" w:rsidRPr="007707A3" w:rsidRDefault="007707A3" w:rsidP="002C2583">
            <w:pPr>
              <w:widowControl/>
              <w:autoSpaceDE/>
              <w:autoSpaceDN/>
              <w:adjustRightInd/>
              <w:rPr>
                <w:color w:val="000000"/>
                <w:sz w:val="20"/>
                <w:szCs w:val="20"/>
              </w:rPr>
            </w:pPr>
          </w:p>
        </w:tc>
        <w:tc>
          <w:tcPr>
            <w:tcW w:w="1128" w:type="dxa"/>
            <w:tcBorders>
              <w:top w:val="nil"/>
              <w:left w:val="nil"/>
              <w:bottom w:val="nil"/>
              <w:right w:val="nil"/>
            </w:tcBorders>
            <w:shd w:val="clear" w:color="auto" w:fill="404040" w:themeFill="text1" w:themeFillTint="BF"/>
            <w:noWrap/>
            <w:vAlign w:val="bottom"/>
          </w:tcPr>
          <w:p w14:paraId="44511033" w14:textId="77777777" w:rsidR="007707A3" w:rsidRPr="007707A3" w:rsidRDefault="007707A3" w:rsidP="002C2583">
            <w:pPr>
              <w:widowControl/>
              <w:autoSpaceDE/>
              <w:autoSpaceDN/>
              <w:adjustRightInd/>
              <w:rPr>
                <w:color w:val="000000"/>
                <w:sz w:val="20"/>
                <w:szCs w:val="20"/>
              </w:rPr>
            </w:pPr>
          </w:p>
        </w:tc>
        <w:tc>
          <w:tcPr>
            <w:tcW w:w="1160" w:type="dxa"/>
            <w:tcBorders>
              <w:top w:val="nil"/>
              <w:left w:val="nil"/>
              <w:bottom w:val="nil"/>
              <w:right w:val="nil"/>
            </w:tcBorders>
            <w:shd w:val="clear" w:color="auto" w:fill="404040" w:themeFill="text1" w:themeFillTint="BF"/>
            <w:noWrap/>
            <w:vAlign w:val="bottom"/>
          </w:tcPr>
          <w:p w14:paraId="74E75F72" w14:textId="1470C991" w:rsidR="007707A3" w:rsidRPr="007707A3" w:rsidRDefault="007707A3" w:rsidP="002C2583">
            <w:pPr>
              <w:widowControl/>
              <w:autoSpaceDE/>
              <w:autoSpaceDN/>
              <w:adjustRightInd/>
              <w:jc w:val="right"/>
              <w:rPr>
                <w:color w:val="000000"/>
                <w:sz w:val="20"/>
                <w:szCs w:val="20"/>
              </w:rPr>
            </w:pPr>
          </w:p>
        </w:tc>
        <w:tc>
          <w:tcPr>
            <w:tcW w:w="1140" w:type="dxa"/>
            <w:tcBorders>
              <w:top w:val="nil"/>
              <w:left w:val="nil"/>
              <w:bottom w:val="nil"/>
              <w:right w:val="nil"/>
            </w:tcBorders>
            <w:shd w:val="clear" w:color="auto" w:fill="404040" w:themeFill="text1" w:themeFillTint="BF"/>
            <w:noWrap/>
            <w:vAlign w:val="bottom"/>
          </w:tcPr>
          <w:p w14:paraId="6B45A055" w14:textId="77777777" w:rsidR="007707A3" w:rsidRPr="007707A3" w:rsidRDefault="007707A3" w:rsidP="002C2583">
            <w:pPr>
              <w:widowControl/>
              <w:autoSpaceDE/>
              <w:autoSpaceDN/>
              <w:adjustRightInd/>
              <w:rPr>
                <w:color w:val="000000"/>
                <w:sz w:val="20"/>
                <w:szCs w:val="20"/>
              </w:rPr>
            </w:pPr>
          </w:p>
        </w:tc>
        <w:tc>
          <w:tcPr>
            <w:tcW w:w="1060" w:type="dxa"/>
            <w:tcBorders>
              <w:top w:val="nil"/>
              <w:left w:val="nil"/>
              <w:bottom w:val="nil"/>
              <w:right w:val="nil"/>
            </w:tcBorders>
            <w:shd w:val="clear" w:color="auto" w:fill="404040" w:themeFill="text1" w:themeFillTint="BF"/>
            <w:noWrap/>
            <w:vAlign w:val="bottom"/>
          </w:tcPr>
          <w:p w14:paraId="6924C9E6" w14:textId="47F4C685" w:rsidR="007707A3" w:rsidRPr="007707A3" w:rsidRDefault="007707A3" w:rsidP="002C2583">
            <w:pPr>
              <w:widowControl/>
              <w:autoSpaceDE/>
              <w:autoSpaceDN/>
              <w:adjustRightInd/>
              <w:jc w:val="right"/>
              <w:rPr>
                <w:color w:val="000000"/>
                <w:sz w:val="20"/>
                <w:szCs w:val="20"/>
              </w:rPr>
            </w:pPr>
          </w:p>
        </w:tc>
        <w:tc>
          <w:tcPr>
            <w:tcW w:w="1140" w:type="dxa"/>
            <w:tcBorders>
              <w:top w:val="nil"/>
              <w:left w:val="nil"/>
              <w:bottom w:val="nil"/>
              <w:right w:val="single" w:sz="8" w:space="0" w:color="auto"/>
            </w:tcBorders>
            <w:shd w:val="clear" w:color="auto" w:fill="404040" w:themeFill="text1" w:themeFillTint="BF"/>
            <w:noWrap/>
            <w:vAlign w:val="bottom"/>
          </w:tcPr>
          <w:p w14:paraId="4362617C" w14:textId="2C80100E" w:rsidR="007707A3" w:rsidRPr="007707A3" w:rsidRDefault="007707A3" w:rsidP="002C2583">
            <w:pPr>
              <w:widowControl/>
              <w:autoSpaceDE/>
              <w:autoSpaceDN/>
              <w:adjustRightInd/>
              <w:rPr>
                <w:color w:val="000000"/>
                <w:sz w:val="20"/>
                <w:szCs w:val="20"/>
              </w:rPr>
            </w:pPr>
          </w:p>
        </w:tc>
      </w:tr>
      <w:tr w:rsidR="007707A3" w:rsidRPr="007707A3" w14:paraId="51D030AE" w14:textId="77777777" w:rsidTr="00355526">
        <w:trPr>
          <w:trHeight w:val="140"/>
        </w:trPr>
        <w:tc>
          <w:tcPr>
            <w:tcW w:w="2535" w:type="dxa"/>
            <w:tcBorders>
              <w:top w:val="nil"/>
              <w:left w:val="single" w:sz="8" w:space="0" w:color="auto"/>
              <w:bottom w:val="single" w:sz="8" w:space="0" w:color="auto"/>
              <w:right w:val="nil"/>
            </w:tcBorders>
            <w:shd w:val="clear" w:color="auto" w:fill="404040" w:themeFill="text1" w:themeFillTint="BF"/>
            <w:noWrap/>
            <w:vAlign w:val="bottom"/>
          </w:tcPr>
          <w:p w14:paraId="06E32AFF" w14:textId="22C9FB1C" w:rsidR="007707A3" w:rsidRPr="007707A3" w:rsidRDefault="007707A3" w:rsidP="002C2583">
            <w:pPr>
              <w:widowControl/>
              <w:autoSpaceDE/>
              <w:autoSpaceDN/>
              <w:adjustRightInd/>
              <w:rPr>
                <w:color w:val="000000"/>
                <w:sz w:val="20"/>
                <w:szCs w:val="20"/>
              </w:rPr>
            </w:pPr>
          </w:p>
        </w:tc>
        <w:tc>
          <w:tcPr>
            <w:tcW w:w="1139" w:type="dxa"/>
            <w:tcBorders>
              <w:top w:val="nil"/>
              <w:left w:val="nil"/>
              <w:bottom w:val="single" w:sz="8" w:space="0" w:color="auto"/>
              <w:right w:val="nil"/>
            </w:tcBorders>
            <w:shd w:val="clear" w:color="auto" w:fill="404040" w:themeFill="text1" w:themeFillTint="BF"/>
            <w:noWrap/>
            <w:vAlign w:val="bottom"/>
          </w:tcPr>
          <w:p w14:paraId="53F53195" w14:textId="3C4449A4" w:rsidR="007707A3" w:rsidRPr="007707A3" w:rsidRDefault="007707A3" w:rsidP="002C2583">
            <w:pPr>
              <w:widowControl/>
              <w:autoSpaceDE/>
              <w:autoSpaceDN/>
              <w:adjustRightInd/>
              <w:rPr>
                <w:color w:val="000000"/>
                <w:sz w:val="20"/>
                <w:szCs w:val="20"/>
              </w:rPr>
            </w:pPr>
          </w:p>
        </w:tc>
        <w:tc>
          <w:tcPr>
            <w:tcW w:w="1128" w:type="dxa"/>
            <w:tcBorders>
              <w:top w:val="nil"/>
              <w:left w:val="nil"/>
              <w:bottom w:val="single" w:sz="8" w:space="0" w:color="auto"/>
              <w:right w:val="nil"/>
            </w:tcBorders>
            <w:shd w:val="clear" w:color="auto" w:fill="404040" w:themeFill="text1" w:themeFillTint="BF"/>
            <w:noWrap/>
            <w:vAlign w:val="bottom"/>
          </w:tcPr>
          <w:p w14:paraId="007BFCC5" w14:textId="479BBA3B" w:rsidR="007707A3" w:rsidRPr="007707A3" w:rsidRDefault="007707A3" w:rsidP="002C2583">
            <w:pPr>
              <w:widowControl/>
              <w:autoSpaceDE/>
              <w:autoSpaceDN/>
              <w:adjustRightInd/>
              <w:rPr>
                <w:color w:val="000000"/>
                <w:sz w:val="20"/>
                <w:szCs w:val="20"/>
              </w:rPr>
            </w:pPr>
          </w:p>
        </w:tc>
        <w:tc>
          <w:tcPr>
            <w:tcW w:w="1160" w:type="dxa"/>
            <w:tcBorders>
              <w:top w:val="nil"/>
              <w:left w:val="nil"/>
              <w:bottom w:val="single" w:sz="8" w:space="0" w:color="auto"/>
              <w:right w:val="nil"/>
            </w:tcBorders>
            <w:shd w:val="clear" w:color="auto" w:fill="404040" w:themeFill="text1" w:themeFillTint="BF"/>
            <w:noWrap/>
            <w:vAlign w:val="bottom"/>
          </w:tcPr>
          <w:p w14:paraId="2F9CCAAA" w14:textId="461FA8CE" w:rsidR="007707A3" w:rsidRPr="007707A3" w:rsidRDefault="007707A3" w:rsidP="002C2583">
            <w:pPr>
              <w:widowControl/>
              <w:autoSpaceDE/>
              <w:autoSpaceDN/>
              <w:adjustRightInd/>
              <w:rPr>
                <w:color w:val="000000"/>
                <w:sz w:val="20"/>
                <w:szCs w:val="20"/>
              </w:rPr>
            </w:pPr>
          </w:p>
        </w:tc>
        <w:tc>
          <w:tcPr>
            <w:tcW w:w="1140" w:type="dxa"/>
            <w:tcBorders>
              <w:top w:val="nil"/>
              <w:left w:val="nil"/>
              <w:bottom w:val="single" w:sz="8" w:space="0" w:color="auto"/>
              <w:right w:val="nil"/>
            </w:tcBorders>
            <w:shd w:val="clear" w:color="auto" w:fill="404040" w:themeFill="text1" w:themeFillTint="BF"/>
            <w:noWrap/>
            <w:vAlign w:val="bottom"/>
          </w:tcPr>
          <w:p w14:paraId="2D179EF9" w14:textId="775D01EC" w:rsidR="007707A3" w:rsidRPr="007707A3" w:rsidRDefault="007707A3" w:rsidP="002C2583">
            <w:pPr>
              <w:widowControl/>
              <w:autoSpaceDE/>
              <w:autoSpaceDN/>
              <w:adjustRightInd/>
              <w:rPr>
                <w:color w:val="000000"/>
                <w:sz w:val="20"/>
                <w:szCs w:val="20"/>
              </w:rPr>
            </w:pPr>
          </w:p>
        </w:tc>
        <w:tc>
          <w:tcPr>
            <w:tcW w:w="1060" w:type="dxa"/>
            <w:tcBorders>
              <w:top w:val="nil"/>
              <w:left w:val="nil"/>
              <w:bottom w:val="single" w:sz="8" w:space="0" w:color="auto"/>
              <w:right w:val="nil"/>
            </w:tcBorders>
            <w:shd w:val="clear" w:color="auto" w:fill="404040" w:themeFill="text1" w:themeFillTint="BF"/>
            <w:noWrap/>
            <w:vAlign w:val="bottom"/>
          </w:tcPr>
          <w:p w14:paraId="7E3A72CF" w14:textId="23DD2EE6" w:rsidR="007707A3" w:rsidRPr="007707A3" w:rsidRDefault="007707A3" w:rsidP="002C2583">
            <w:pPr>
              <w:widowControl/>
              <w:autoSpaceDE/>
              <w:autoSpaceDN/>
              <w:adjustRightInd/>
              <w:rPr>
                <w:color w:val="000000"/>
                <w:sz w:val="20"/>
                <w:szCs w:val="20"/>
              </w:rPr>
            </w:pPr>
          </w:p>
        </w:tc>
        <w:tc>
          <w:tcPr>
            <w:tcW w:w="1140" w:type="dxa"/>
            <w:tcBorders>
              <w:top w:val="nil"/>
              <w:left w:val="nil"/>
              <w:bottom w:val="single" w:sz="8" w:space="0" w:color="auto"/>
              <w:right w:val="single" w:sz="8" w:space="0" w:color="auto"/>
            </w:tcBorders>
            <w:shd w:val="clear" w:color="auto" w:fill="404040" w:themeFill="text1" w:themeFillTint="BF"/>
            <w:noWrap/>
            <w:vAlign w:val="bottom"/>
          </w:tcPr>
          <w:p w14:paraId="2353682C" w14:textId="59E43BF6" w:rsidR="007707A3" w:rsidRPr="007707A3" w:rsidRDefault="007707A3" w:rsidP="002C2583">
            <w:pPr>
              <w:widowControl/>
              <w:autoSpaceDE/>
              <w:autoSpaceDN/>
              <w:adjustRightInd/>
              <w:rPr>
                <w:color w:val="000000"/>
                <w:sz w:val="20"/>
                <w:szCs w:val="20"/>
              </w:rPr>
            </w:pPr>
          </w:p>
        </w:tc>
      </w:tr>
    </w:tbl>
    <w:p w14:paraId="3AE8751A" w14:textId="77777777" w:rsidR="007707A3" w:rsidRPr="004A05D6" w:rsidRDefault="007707A3" w:rsidP="002C2583">
      <w:pPr>
        <w:ind w:left="720" w:hanging="720"/>
        <w:jc w:val="center"/>
        <w:rPr>
          <w:b/>
        </w:rPr>
      </w:pPr>
    </w:p>
    <w:p w14:paraId="02E143E3" w14:textId="77777777" w:rsidR="007707A3" w:rsidRPr="007707A3" w:rsidRDefault="007707A3" w:rsidP="0055710F">
      <w:pPr>
        <w:spacing w:line="480" w:lineRule="auto"/>
        <w:ind w:left="720"/>
        <w:rPr>
          <w:b/>
        </w:rPr>
      </w:pPr>
      <w:r w:rsidRPr="007707A3">
        <w:rPr>
          <w:b/>
        </w:rPr>
        <w:t>END CONFIDENTIAL&gt;&gt;</w:t>
      </w:r>
    </w:p>
    <w:p w14:paraId="16F5FBFD" w14:textId="77777777" w:rsidR="00BB727A" w:rsidRPr="00BB727A" w:rsidRDefault="00E823FB" w:rsidP="002C2583">
      <w:pPr>
        <w:spacing w:line="480" w:lineRule="auto"/>
        <w:ind w:left="720"/>
      </w:pPr>
      <w:r>
        <w:t>We</w:t>
      </w:r>
      <w:r w:rsidR="00BB727A">
        <w:t xml:space="preserve"> would also note that </w:t>
      </w:r>
      <w:r w:rsidR="007707A3">
        <w:t>the tables and rankings only include a snapshot of consumer prices (</w:t>
      </w:r>
      <w:r w:rsidR="007707A3" w:rsidRPr="002833DC">
        <w:rPr>
          <w:i/>
        </w:rPr>
        <w:t>i.e.</w:t>
      </w:r>
      <w:r w:rsidR="003C5252">
        <w:rPr>
          <w:i/>
        </w:rPr>
        <w:t>,</w:t>
      </w:r>
      <w:r w:rsidR="007707A3" w:rsidRPr="002833DC">
        <w:rPr>
          <w:i/>
        </w:rPr>
        <w:t xml:space="preserve"> </w:t>
      </w:r>
      <w:r w:rsidR="007707A3">
        <w:t xml:space="preserve">one billing period).  </w:t>
      </w:r>
    </w:p>
    <w:p w14:paraId="75D0C5F1" w14:textId="77777777" w:rsidR="002A3253" w:rsidRPr="000F3AB3" w:rsidRDefault="00103969" w:rsidP="002C2583">
      <w:pPr>
        <w:spacing w:line="480" w:lineRule="auto"/>
        <w:outlineLvl w:val="0"/>
      </w:pPr>
      <w:r>
        <w:rPr>
          <w:b/>
        </w:rPr>
        <w:br w:type="page"/>
      </w:r>
      <w:bookmarkStart w:id="40" w:name="_Toc382029129"/>
      <w:r w:rsidR="00312D6D">
        <w:rPr>
          <w:b/>
        </w:rPr>
        <w:t>V.</w:t>
      </w:r>
      <w:r w:rsidR="00312D6D">
        <w:rPr>
          <w:b/>
        </w:rPr>
        <w:tab/>
      </w:r>
      <w:r w:rsidR="003D0497">
        <w:rPr>
          <w:b/>
        </w:rPr>
        <w:t xml:space="preserve">DISTORTIONS IN THE </w:t>
      </w:r>
      <w:r w:rsidR="00312D6D">
        <w:rPr>
          <w:b/>
        </w:rPr>
        <w:t>SUPPLIER MARKET</w:t>
      </w:r>
      <w:bookmarkEnd w:id="40"/>
      <w:r w:rsidR="000F3AB3">
        <w:rPr>
          <w:b/>
        </w:rPr>
        <w:t xml:space="preserve"> </w:t>
      </w:r>
    </w:p>
    <w:p w14:paraId="6546A5C2" w14:textId="77777777" w:rsidR="00A008B8" w:rsidRDefault="00A008B8" w:rsidP="00A008B8">
      <w:pPr>
        <w:widowControl/>
        <w:autoSpaceDE/>
        <w:autoSpaceDN/>
        <w:adjustRightInd/>
        <w:spacing w:line="480" w:lineRule="auto"/>
      </w:pPr>
      <w:r>
        <w:rPr>
          <w:b/>
        </w:rPr>
        <w:t>Q:</w:t>
      </w:r>
      <w:r>
        <w:rPr>
          <w:b/>
        </w:rPr>
        <w:tab/>
        <w:t>In your view, is the residential</w:t>
      </w:r>
      <w:r w:rsidR="00A93FF2">
        <w:rPr>
          <w:b/>
        </w:rPr>
        <w:t xml:space="preserve"> Supplier</w:t>
      </w:r>
      <w:r>
        <w:rPr>
          <w:b/>
        </w:rPr>
        <w:t xml:space="preserve"> market working efficiently in Connecticut?</w:t>
      </w:r>
    </w:p>
    <w:p w14:paraId="62520361" w14:textId="77777777" w:rsidR="009F6A37" w:rsidRDefault="00A008B8" w:rsidP="00312D6D">
      <w:pPr>
        <w:widowControl/>
        <w:autoSpaceDE/>
        <w:autoSpaceDN/>
        <w:adjustRightInd/>
        <w:spacing w:line="480" w:lineRule="auto"/>
        <w:ind w:left="720" w:hanging="720"/>
      </w:pPr>
      <w:r>
        <w:t>A:</w:t>
      </w:r>
      <w:r>
        <w:tab/>
        <w:t xml:space="preserve">No.  Based on </w:t>
      </w:r>
      <w:r w:rsidR="00AD6779">
        <w:t xml:space="preserve">our </w:t>
      </w:r>
      <w:r>
        <w:t xml:space="preserve">detailed review of more than 800 residential </w:t>
      </w:r>
      <w:r w:rsidR="00312D6D">
        <w:t xml:space="preserve">complaints and of </w:t>
      </w:r>
      <w:r w:rsidR="00E823FB">
        <w:t>CL&amp;P, UI</w:t>
      </w:r>
      <w:r w:rsidR="003C5252">
        <w:t>,</w:t>
      </w:r>
      <w:r w:rsidR="00E823FB">
        <w:t xml:space="preserve"> and S</w:t>
      </w:r>
      <w:r>
        <w:t xml:space="preserve">uppliers’ responses to OCC interrogatories, </w:t>
      </w:r>
      <w:r w:rsidR="00E823FB">
        <w:t>we</w:t>
      </w:r>
      <w:r>
        <w:t xml:space="preserve"> conclude that </w:t>
      </w:r>
      <w:r w:rsidR="00577DF2">
        <w:t xml:space="preserve">improper sales, marketing, and customer retention practices persist despite clear prohibitions.  </w:t>
      </w:r>
      <w:r>
        <w:t xml:space="preserve">Absent regulatory </w:t>
      </w:r>
      <w:r w:rsidR="00BA380F">
        <w:t xml:space="preserve">and legislative </w:t>
      </w:r>
      <w:r>
        <w:t xml:space="preserve">intervention, consumer harm, of the various types </w:t>
      </w:r>
      <w:r w:rsidR="00E823FB">
        <w:t>we</w:t>
      </w:r>
      <w:r>
        <w:t xml:space="preserve"> describe in Sections III</w:t>
      </w:r>
      <w:r w:rsidR="00E823FB">
        <w:t xml:space="preserve"> and</w:t>
      </w:r>
      <w:r>
        <w:t xml:space="preserve"> IV</w:t>
      </w:r>
      <w:r w:rsidR="00E823FB">
        <w:t xml:space="preserve">, </w:t>
      </w:r>
      <w:r>
        <w:t>above, will persist.</w:t>
      </w:r>
      <w:r w:rsidR="009F6A37">
        <w:t xml:space="preserve">  The fact that some </w:t>
      </w:r>
      <w:r w:rsidR="00E823FB">
        <w:t>S</w:t>
      </w:r>
      <w:r w:rsidR="009F6A37">
        <w:t xml:space="preserve">uppliers’ rates are so much higher than the average or what is available as “default” service is another indication that this market is not functioning well.  </w:t>
      </w:r>
    </w:p>
    <w:p w14:paraId="7F587C66" w14:textId="77777777" w:rsidR="00421FB9" w:rsidRDefault="00421FB9" w:rsidP="00312D6D">
      <w:pPr>
        <w:widowControl/>
        <w:autoSpaceDE/>
        <w:autoSpaceDN/>
        <w:adjustRightInd/>
        <w:spacing w:line="480" w:lineRule="auto"/>
        <w:ind w:left="720" w:hanging="720"/>
        <w:rPr>
          <w:b/>
        </w:rPr>
      </w:pPr>
      <w:r>
        <w:rPr>
          <w:b/>
        </w:rPr>
        <w:t xml:space="preserve">Q:  </w:t>
      </w:r>
      <w:r>
        <w:rPr>
          <w:b/>
        </w:rPr>
        <w:tab/>
        <w:t>What might be causing the market to malfunction?</w:t>
      </w:r>
    </w:p>
    <w:p w14:paraId="00A93EEF" w14:textId="77777777" w:rsidR="00207535" w:rsidRDefault="00207535" w:rsidP="00413A6B">
      <w:pPr>
        <w:widowControl/>
        <w:autoSpaceDE/>
        <w:autoSpaceDN/>
        <w:adjustRightInd/>
        <w:spacing w:line="480" w:lineRule="auto"/>
        <w:ind w:left="720" w:hanging="720"/>
      </w:pPr>
      <w:r>
        <w:t>A:</w:t>
      </w:r>
      <w:r>
        <w:tab/>
        <w:t>The e</w:t>
      </w:r>
      <w:r w:rsidR="00421FB9">
        <w:t xml:space="preserve">mphasis </w:t>
      </w:r>
      <w:r w:rsidR="00BA380F">
        <w:t xml:space="preserve">seems to be </w:t>
      </w:r>
      <w:r w:rsidR="00421FB9">
        <w:t xml:space="preserve">on getting </w:t>
      </w:r>
      <w:r>
        <w:t xml:space="preserve">the </w:t>
      </w:r>
      <w:r w:rsidR="00421FB9">
        <w:t>customer signed up</w:t>
      </w:r>
      <w:r>
        <w:t xml:space="preserve">, rather than ensuring that the customer has good service in the longer term.  At worst, this leads to unscrupulous sales and marketing practices – badgering by telemarketers or door-to-door sales representatives, unauthorized switching of customers.  Even when </w:t>
      </w:r>
      <w:r w:rsidR="00E823FB">
        <w:t>S</w:t>
      </w:r>
      <w:r>
        <w:t xml:space="preserve">uppliers eschew these practices, they may still highlight a </w:t>
      </w:r>
      <w:r w:rsidR="00421FB9">
        <w:t>low initial rate</w:t>
      </w:r>
      <w:r>
        <w:t xml:space="preserve"> and downplay the possibility of higher rates down the line.  </w:t>
      </w:r>
      <w:r w:rsidR="009F6A37">
        <w:t xml:space="preserve">They also count on customer inertia or lack of awareness about rate changes.  </w:t>
      </w:r>
    </w:p>
    <w:p w14:paraId="77DFFD42" w14:textId="77777777" w:rsidR="00207535" w:rsidRPr="00DA2D19" w:rsidRDefault="00207535" w:rsidP="00421FB9">
      <w:pPr>
        <w:widowControl/>
        <w:autoSpaceDE/>
        <w:autoSpaceDN/>
        <w:adjustRightInd/>
        <w:spacing w:line="480" w:lineRule="auto"/>
        <w:rPr>
          <w:b/>
        </w:rPr>
      </w:pPr>
      <w:r w:rsidRPr="00DA2D19">
        <w:rPr>
          <w:b/>
        </w:rPr>
        <w:t>Q:</w:t>
      </w:r>
      <w:r w:rsidRPr="00DA2D19">
        <w:rPr>
          <w:b/>
        </w:rPr>
        <w:tab/>
        <w:t>What else may be inhibiting an efficient market?</w:t>
      </w:r>
    </w:p>
    <w:p w14:paraId="6703D425" w14:textId="77777777" w:rsidR="009F6A37" w:rsidRDefault="00E823FB" w:rsidP="00413A6B">
      <w:pPr>
        <w:widowControl/>
        <w:autoSpaceDE/>
        <w:autoSpaceDN/>
        <w:adjustRightInd/>
        <w:spacing w:line="480" w:lineRule="auto"/>
        <w:ind w:left="720" w:hanging="720"/>
      </w:pPr>
      <w:r>
        <w:t>A:</w:t>
      </w:r>
      <w:r>
        <w:tab/>
        <w:t>Just as S</w:t>
      </w:r>
      <w:r w:rsidR="00207535">
        <w:t>uppliers take pains to acquire new customers, some also seem to be overstepping when it comes to preventing customers from terminating service and switching to another provider.</w:t>
      </w:r>
      <w:r w:rsidR="009F6A37">
        <w:t xml:space="preserve">   Customers report difficulty getting through by telephone to a customer service representative, and </w:t>
      </w:r>
      <w:r w:rsidR="002A556D">
        <w:t xml:space="preserve">the complaints reveal that they are sometimes </w:t>
      </w:r>
      <w:r w:rsidR="009F6A37">
        <w:t>given incorrect information about their ability to switch providers or the costs associated with switching.</w:t>
      </w:r>
      <w:r w:rsidR="002A556D">
        <w:t xml:space="preserve">  In addition, because e</w:t>
      </w:r>
      <w:r w:rsidR="002A556D" w:rsidRPr="00C548E0">
        <w:t>lectricity</w:t>
      </w:r>
      <w:r w:rsidR="002A556D">
        <w:t xml:space="preserve"> </w:t>
      </w:r>
      <w:r w:rsidR="002A556D" w:rsidRPr="00C548E0">
        <w:t>is a</w:t>
      </w:r>
      <w:r w:rsidR="002A556D">
        <w:t>n</w:t>
      </w:r>
      <w:r w:rsidR="002A556D" w:rsidRPr="00C548E0">
        <w:t xml:space="preserve"> essential service</w:t>
      </w:r>
      <w:r w:rsidR="002A556D">
        <w:t>, c</w:t>
      </w:r>
      <w:r w:rsidR="002A556D" w:rsidRPr="00C548E0">
        <w:t xml:space="preserve">ustomers may be anxious about </w:t>
      </w:r>
      <w:r w:rsidR="002A556D">
        <w:t>cancelling their service to move to another</w:t>
      </w:r>
      <w:r w:rsidR="00A93FF2">
        <w:t xml:space="preserve"> Supplier</w:t>
      </w:r>
      <w:r w:rsidR="002A556D">
        <w:t>.</w:t>
      </w:r>
    </w:p>
    <w:p w14:paraId="18EE8EE6" w14:textId="77777777" w:rsidR="00FB518A" w:rsidRPr="00DA2D19" w:rsidRDefault="00FB518A" w:rsidP="00413A6B">
      <w:pPr>
        <w:widowControl/>
        <w:autoSpaceDE/>
        <w:autoSpaceDN/>
        <w:adjustRightInd/>
        <w:spacing w:line="480" w:lineRule="auto"/>
        <w:ind w:left="720" w:hanging="720"/>
        <w:rPr>
          <w:b/>
        </w:rPr>
      </w:pPr>
      <w:r w:rsidRPr="00DA2D19">
        <w:rPr>
          <w:b/>
        </w:rPr>
        <w:t xml:space="preserve">Q:  </w:t>
      </w:r>
      <w:r w:rsidR="001A67B9">
        <w:rPr>
          <w:b/>
        </w:rPr>
        <w:tab/>
      </w:r>
      <w:r w:rsidRPr="00DA2D19">
        <w:rPr>
          <w:b/>
        </w:rPr>
        <w:t>Can all of the problems with how this market i</w:t>
      </w:r>
      <w:r w:rsidR="00E823FB">
        <w:rPr>
          <w:b/>
        </w:rPr>
        <w:t>s functioning be attributed to S</w:t>
      </w:r>
      <w:r w:rsidRPr="00DA2D19">
        <w:rPr>
          <w:b/>
        </w:rPr>
        <w:t>upplier misconduct?</w:t>
      </w:r>
    </w:p>
    <w:p w14:paraId="12ECBFE9" w14:textId="77777777" w:rsidR="00FB518A" w:rsidRDefault="00FB518A" w:rsidP="00413A6B">
      <w:pPr>
        <w:widowControl/>
        <w:autoSpaceDE/>
        <w:autoSpaceDN/>
        <w:adjustRightInd/>
        <w:spacing w:line="480" w:lineRule="auto"/>
        <w:ind w:left="720" w:hanging="720"/>
      </w:pPr>
      <w:r>
        <w:t xml:space="preserve">A: </w:t>
      </w:r>
      <w:r w:rsidR="001A67B9">
        <w:tab/>
      </w:r>
      <w:r>
        <w:t xml:space="preserve"> No.  Despite everything that PURA has done so far to make it easier for customers to understand how electric generation services competition works, it </w:t>
      </w:r>
      <w:r w:rsidR="00C42941">
        <w:t>seems that some</w:t>
      </w:r>
      <w:r>
        <w:t xml:space="preserve"> customers still do not have adequate, accessible tools for comparing the available options.  In order for the market to work efficiently, consumers need to be able to make informed decisions.</w:t>
      </w:r>
      <w:r w:rsidR="002A556D">
        <w:t xml:space="preserve">  </w:t>
      </w:r>
      <w:r w:rsidR="00E823FB">
        <w:t>Yet, even here, S</w:t>
      </w:r>
      <w:r w:rsidR="002A556D">
        <w:t>uppliers can help overcome this barrier</w:t>
      </w:r>
      <w:r w:rsidR="00BA678D">
        <w:t xml:space="preserve"> </w:t>
      </w:r>
      <w:r w:rsidR="002A556D">
        <w:t xml:space="preserve">by cooperating in a coordinated education campaign that could be overseen by PURA.  </w:t>
      </w:r>
      <w:r w:rsidR="00E823FB">
        <w:t>We</w:t>
      </w:r>
      <w:r w:rsidR="002A556D">
        <w:t xml:space="preserve"> describe this further in the Remedies section of </w:t>
      </w:r>
      <w:r w:rsidR="00AD6779">
        <w:t xml:space="preserve">our </w:t>
      </w:r>
      <w:r w:rsidR="002A556D">
        <w:t>testimony.</w:t>
      </w:r>
    </w:p>
    <w:p w14:paraId="1F8B0385" w14:textId="77777777" w:rsidR="00DF1788" w:rsidRDefault="00DF1788" w:rsidP="00413A6B">
      <w:pPr>
        <w:widowControl/>
        <w:autoSpaceDE/>
        <w:autoSpaceDN/>
        <w:adjustRightInd/>
        <w:spacing w:line="480" w:lineRule="auto"/>
        <w:ind w:left="720" w:hanging="720"/>
        <w:rPr>
          <w:b/>
        </w:rPr>
      </w:pPr>
      <w:r>
        <w:rPr>
          <w:b/>
        </w:rPr>
        <w:t>Q:</w:t>
      </w:r>
      <w:r>
        <w:rPr>
          <w:b/>
        </w:rPr>
        <w:tab/>
        <w:t xml:space="preserve">Have you examined </w:t>
      </w:r>
      <w:r w:rsidR="00E823FB">
        <w:rPr>
          <w:b/>
        </w:rPr>
        <w:t>S</w:t>
      </w:r>
      <w:r>
        <w:rPr>
          <w:b/>
        </w:rPr>
        <w:t>uppliers’ corporate structures?</w:t>
      </w:r>
    </w:p>
    <w:p w14:paraId="3312CFCC" w14:textId="77777777" w:rsidR="00DF1788" w:rsidRPr="00DF1788" w:rsidRDefault="00DF1788" w:rsidP="00413A6B">
      <w:pPr>
        <w:widowControl/>
        <w:autoSpaceDE/>
        <w:autoSpaceDN/>
        <w:adjustRightInd/>
        <w:spacing w:line="480" w:lineRule="auto"/>
        <w:ind w:left="720" w:hanging="720"/>
      </w:pPr>
      <w:r>
        <w:t>A:</w:t>
      </w:r>
      <w:r>
        <w:tab/>
        <w:t>No.  However, as a result of reviewing consumer complaints</w:t>
      </w:r>
      <w:r w:rsidR="00CE455B">
        <w:t>,</w:t>
      </w:r>
      <w:r>
        <w:t xml:space="preserve"> some information has come to </w:t>
      </w:r>
      <w:r w:rsidR="00AD6779">
        <w:t xml:space="preserve">our </w:t>
      </w:r>
      <w:r>
        <w:t>attention.  For example, Public Power and Viridian are owned by the same corporate parent.</w:t>
      </w:r>
      <w:r>
        <w:rPr>
          <w:rStyle w:val="FootnoteReference"/>
        </w:rPr>
        <w:footnoteReference w:id="66"/>
      </w:r>
      <w:r>
        <w:t xml:space="preserve">   Also, as</w:t>
      </w:r>
      <w:r w:rsidR="008B6DBC">
        <w:t xml:space="preserve"> we </w:t>
      </w:r>
      <w:r>
        <w:t xml:space="preserve">discussed earlier in </w:t>
      </w:r>
      <w:r w:rsidR="00AD6779">
        <w:t xml:space="preserve">our </w:t>
      </w:r>
      <w:r>
        <w:t>testimony, Constellation New England and Constellation MX are owned by the same parent company.</w:t>
      </w:r>
      <w:r w:rsidR="00F50BB1">
        <w:t xml:space="preserve">  </w:t>
      </w:r>
    </w:p>
    <w:p w14:paraId="73BA8DB6" w14:textId="77777777" w:rsidR="005640C0" w:rsidRDefault="00312D6D" w:rsidP="005640C0">
      <w:pPr>
        <w:widowControl/>
        <w:autoSpaceDE/>
        <w:autoSpaceDN/>
        <w:adjustRightInd/>
        <w:spacing w:line="480" w:lineRule="auto"/>
        <w:ind w:left="720" w:hanging="720"/>
        <w:rPr>
          <w:b/>
        </w:rPr>
      </w:pPr>
      <w:r>
        <w:rPr>
          <w:b/>
        </w:rPr>
        <w:t>Q:</w:t>
      </w:r>
      <w:r w:rsidR="005640C0">
        <w:rPr>
          <w:b/>
        </w:rPr>
        <w:tab/>
        <w:t xml:space="preserve">In Section III you describe various reasons for customers’ complaints, such as customers </w:t>
      </w:r>
      <w:r w:rsidR="00E17652">
        <w:rPr>
          <w:b/>
        </w:rPr>
        <w:t>believing that</w:t>
      </w:r>
      <w:r w:rsidR="00097979">
        <w:rPr>
          <w:b/>
        </w:rPr>
        <w:t xml:space="preserve"> </w:t>
      </w:r>
      <w:r w:rsidR="005640C0">
        <w:rPr>
          <w:b/>
        </w:rPr>
        <w:t xml:space="preserve">they have a fixed rate only to discover </w:t>
      </w:r>
      <w:r w:rsidR="00F74864">
        <w:rPr>
          <w:b/>
        </w:rPr>
        <w:t xml:space="preserve">that </w:t>
      </w:r>
      <w:r w:rsidR="005640C0">
        <w:rPr>
          <w:b/>
        </w:rPr>
        <w:t xml:space="preserve">the rate </w:t>
      </w:r>
      <w:r w:rsidR="00F74864">
        <w:rPr>
          <w:b/>
        </w:rPr>
        <w:t xml:space="preserve">has </w:t>
      </w:r>
      <w:r w:rsidR="005640C0">
        <w:rPr>
          <w:b/>
        </w:rPr>
        <w:t>double</w:t>
      </w:r>
      <w:r w:rsidR="00F74864">
        <w:rPr>
          <w:b/>
        </w:rPr>
        <w:t>d</w:t>
      </w:r>
      <w:r w:rsidR="005640C0">
        <w:rPr>
          <w:b/>
        </w:rPr>
        <w:t xml:space="preserve"> or customers claiming they have been slammed.  Have you considered the possibility that customers may be misremembering conversations about variable rates</w:t>
      </w:r>
      <w:r w:rsidR="00F74864">
        <w:rPr>
          <w:b/>
        </w:rPr>
        <w:t>,</w:t>
      </w:r>
      <w:r w:rsidR="005640C0">
        <w:rPr>
          <w:b/>
        </w:rPr>
        <w:t xml:space="preserve"> or about </w:t>
      </w:r>
      <w:r w:rsidR="00A139A6">
        <w:rPr>
          <w:b/>
        </w:rPr>
        <w:t>their selection of a</w:t>
      </w:r>
      <w:r w:rsidR="00A93FF2">
        <w:rPr>
          <w:b/>
        </w:rPr>
        <w:t xml:space="preserve"> Supplier</w:t>
      </w:r>
      <w:r w:rsidR="00A139A6">
        <w:rPr>
          <w:b/>
        </w:rPr>
        <w:t xml:space="preserve">? </w:t>
      </w:r>
    </w:p>
    <w:p w14:paraId="56DB7FB1" w14:textId="77777777" w:rsidR="005640C0" w:rsidRPr="002F2E09" w:rsidRDefault="00A139A6" w:rsidP="00E823FB">
      <w:pPr>
        <w:widowControl/>
        <w:autoSpaceDE/>
        <w:autoSpaceDN/>
        <w:adjustRightInd/>
        <w:spacing w:line="480" w:lineRule="auto"/>
        <w:ind w:left="720" w:hanging="720"/>
      </w:pPr>
      <w:r>
        <w:t>A:</w:t>
      </w:r>
      <w:r>
        <w:tab/>
        <w:t>Yes,</w:t>
      </w:r>
      <w:r w:rsidR="008B6DBC">
        <w:t xml:space="preserve"> we </w:t>
      </w:r>
      <w:r>
        <w:t xml:space="preserve">have.  Of course such a possibility exists.  But the prevalence of similar complaints and the exorbitant rates </w:t>
      </w:r>
      <w:r w:rsidR="00E823FB">
        <w:t>that some S</w:t>
      </w:r>
      <w:r w:rsidR="00F74864">
        <w:t xml:space="preserve">uppliers are able to maintain </w:t>
      </w:r>
      <w:r>
        <w:t>suggest a distorted marketplace</w:t>
      </w:r>
      <w:r w:rsidRPr="00E823FB">
        <w:t xml:space="preserve">.  </w:t>
      </w:r>
      <w:r w:rsidR="00F74864" w:rsidRPr="00E823FB">
        <w:t>If consumer “loyalty” depends on</w:t>
      </w:r>
      <w:r w:rsidR="00E823FB">
        <w:t xml:space="preserve"> their confusion, it is not in S</w:t>
      </w:r>
      <w:r w:rsidR="00F74864" w:rsidRPr="00E823FB">
        <w:t xml:space="preserve">uppliers’ interest </w:t>
      </w:r>
      <w:r w:rsidRPr="00E823FB">
        <w:t>to educate consumers properly – key information may be buried in fine print, references to variable may be negli</w:t>
      </w:r>
      <w:r w:rsidR="00F74864" w:rsidRPr="00E823FB">
        <w:t>gi</w:t>
      </w:r>
      <w:r w:rsidRPr="00E823FB">
        <w:t xml:space="preserve">ble.  As a way to demonstrate the plausibility of consumer complaints, </w:t>
      </w:r>
      <w:r w:rsidR="00E823FB">
        <w:t xml:space="preserve">we </w:t>
      </w:r>
      <w:r w:rsidRPr="00E823FB">
        <w:t xml:space="preserve">have attached examples in Exhibit </w:t>
      </w:r>
      <w:r w:rsidR="00F72542" w:rsidRPr="00E823FB">
        <w:t>3</w:t>
      </w:r>
      <w:r w:rsidRPr="00E823FB">
        <w:t xml:space="preserve"> to </w:t>
      </w:r>
      <w:r w:rsidR="00AD6779" w:rsidRPr="00E823FB">
        <w:t xml:space="preserve">our </w:t>
      </w:r>
      <w:r w:rsidRPr="00E823FB">
        <w:t>testimony.</w:t>
      </w:r>
    </w:p>
    <w:p w14:paraId="3DBE9DD1" w14:textId="77777777" w:rsidR="00541D4D" w:rsidRDefault="00C548E0" w:rsidP="005640C0">
      <w:pPr>
        <w:widowControl/>
        <w:autoSpaceDE/>
        <w:autoSpaceDN/>
        <w:adjustRightInd/>
        <w:spacing w:line="480" w:lineRule="auto"/>
        <w:ind w:left="720" w:hanging="720"/>
        <w:rPr>
          <w:b/>
        </w:rPr>
      </w:pPr>
      <w:r w:rsidRPr="00C548E0">
        <w:rPr>
          <w:b/>
        </w:rPr>
        <w:t>Q:</w:t>
      </w:r>
      <w:r w:rsidRPr="00C548E0">
        <w:rPr>
          <w:b/>
        </w:rPr>
        <w:tab/>
        <w:t xml:space="preserve">In your view, should PURA </w:t>
      </w:r>
      <w:r w:rsidR="00541D4D">
        <w:rPr>
          <w:b/>
        </w:rPr>
        <w:t xml:space="preserve">afford weight to </w:t>
      </w:r>
      <w:r w:rsidRPr="00C548E0">
        <w:rPr>
          <w:b/>
        </w:rPr>
        <w:t xml:space="preserve">these and other comments that have been included with the </w:t>
      </w:r>
      <w:r w:rsidR="00686A56">
        <w:rPr>
          <w:b/>
        </w:rPr>
        <w:t xml:space="preserve">818 </w:t>
      </w:r>
      <w:r w:rsidRPr="00C548E0">
        <w:rPr>
          <w:b/>
        </w:rPr>
        <w:t>residential intake forms concerning complaints about</w:t>
      </w:r>
      <w:r w:rsidR="00A93FF2">
        <w:rPr>
          <w:b/>
        </w:rPr>
        <w:t xml:space="preserve"> Supplier</w:t>
      </w:r>
      <w:r w:rsidRPr="00C548E0">
        <w:rPr>
          <w:b/>
        </w:rPr>
        <w:t>s’ sales and marketing practices</w:t>
      </w:r>
      <w:r w:rsidR="00541D4D">
        <w:rPr>
          <w:b/>
        </w:rPr>
        <w:t>?</w:t>
      </w:r>
    </w:p>
    <w:p w14:paraId="54B91FB6" w14:textId="77777777" w:rsidR="00490CE4" w:rsidRDefault="00C548E0" w:rsidP="00302D8A">
      <w:pPr>
        <w:widowControl/>
        <w:autoSpaceDE/>
        <w:autoSpaceDN/>
        <w:adjustRightInd/>
        <w:spacing w:line="480" w:lineRule="auto"/>
        <w:ind w:left="720" w:hanging="720"/>
      </w:pPr>
      <w:r>
        <w:t>A:</w:t>
      </w:r>
      <w:r>
        <w:tab/>
        <w:t xml:space="preserve">Yes.  It takes time and effort to call PURA, and those consumers who make this effort are likely to have legitimate concerns about the way they were sold services.  If there were </w:t>
      </w:r>
      <w:r w:rsidR="001A67B9">
        <w:t xml:space="preserve">a public feedback </w:t>
      </w:r>
      <w:r>
        <w:t>site for electric</w:t>
      </w:r>
      <w:r w:rsidR="00A93FF2">
        <w:t xml:space="preserve"> Supplier</w:t>
      </w:r>
      <w:r>
        <w:t>s</w:t>
      </w:r>
      <w:r w:rsidR="001A67B9">
        <w:t xml:space="preserve"> (similar to Yelp or Trip Advisor)</w:t>
      </w:r>
      <w:r>
        <w:t>, consumer comments might keep the</w:t>
      </w:r>
      <w:r w:rsidR="00A93FF2">
        <w:t xml:space="preserve"> Supplier</w:t>
      </w:r>
      <w:r>
        <w:t>s more accountable to the public.</w:t>
      </w:r>
      <w:r w:rsidR="0099161D">
        <w:t xml:space="preserve">  PURA should consider adding a “review” option on the </w:t>
      </w:r>
      <w:r w:rsidR="00816D0C">
        <w:t>R</w:t>
      </w:r>
      <w:r w:rsidR="0099161D">
        <w:t xml:space="preserve">ate </w:t>
      </w:r>
      <w:r w:rsidR="00816D0C">
        <w:t>B</w:t>
      </w:r>
      <w:r w:rsidR="0099161D">
        <w:t>oard</w:t>
      </w:r>
      <w:r w:rsidR="00816D0C">
        <w:rPr>
          <w:rStyle w:val="FootnoteReference"/>
        </w:rPr>
        <w:footnoteReference w:id="67"/>
      </w:r>
      <w:r w:rsidR="0099161D">
        <w:t xml:space="preserve"> for customers to provide insight into their experience with each</w:t>
      </w:r>
      <w:r w:rsidR="00A93FF2">
        <w:t xml:space="preserve"> Supplier</w:t>
      </w:r>
      <w:r w:rsidR="0099161D">
        <w:t>.</w:t>
      </w:r>
    </w:p>
    <w:p w14:paraId="5D025937" w14:textId="77777777" w:rsidR="00490CE4" w:rsidRDefault="00490CE4">
      <w:pPr>
        <w:widowControl/>
        <w:autoSpaceDE/>
        <w:autoSpaceDN/>
        <w:adjustRightInd/>
      </w:pPr>
      <w:r>
        <w:br w:type="page"/>
      </w:r>
    </w:p>
    <w:p w14:paraId="3E25737D" w14:textId="77777777" w:rsidR="00312D6D" w:rsidRPr="0085270D" w:rsidRDefault="00312D6D" w:rsidP="00490CE4">
      <w:pPr>
        <w:widowControl/>
        <w:autoSpaceDE/>
        <w:autoSpaceDN/>
        <w:adjustRightInd/>
        <w:spacing w:line="480" w:lineRule="auto"/>
        <w:ind w:left="720" w:hanging="720"/>
        <w:outlineLvl w:val="0"/>
        <w:rPr>
          <w:b/>
        </w:rPr>
      </w:pPr>
      <w:bookmarkStart w:id="41" w:name="_Toc382029130"/>
      <w:r>
        <w:rPr>
          <w:b/>
        </w:rPr>
        <w:t>VI.</w:t>
      </w:r>
      <w:r>
        <w:rPr>
          <w:b/>
        </w:rPr>
        <w:tab/>
      </w:r>
      <w:r w:rsidRPr="0085270D">
        <w:rPr>
          <w:b/>
        </w:rPr>
        <w:t>REMEDIES</w:t>
      </w:r>
      <w:bookmarkEnd w:id="41"/>
    </w:p>
    <w:p w14:paraId="3DCC5A74" w14:textId="77777777" w:rsidR="00A008B8" w:rsidRDefault="00A008B8" w:rsidP="00FC7A68">
      <w:pPr>
        <w:widowControl/>
        <w:autoSpaceDE/>
        <w:autoSpaceDN/>
        <w:adjustRightInd/>
        <w:spacing w:line="480" w:lineRule="auto"/>
        <w:ind w:left="720" w:hanging="720"/>
        <w:rPr>
          <w:b/>
        </w:rPr>
      </w:pPr>
      <w:r>
        <w:rPr>
          <w:b/>
        </w:rPr>
        <w:t>Q:</w:t>
      </w:r>
      <w:r>
        <w:rPr>
          <w:b/>
        </w:rPr>
        <w:tab/>
        <w:t xml:space="preserve">Should PURA adopt industry-wide remedies </w:t>
      </w:r>
      <w:r w:rsidR="00E43652">
        <w:rPr>
          <w:b/>
        </w:rPr>
        <w:t xml:space="preserve">based on the record </w:t>
      </w:r>
      <w:r>
        <w:rPr>
          <w:b/>
        </w:rPr>
        <w:t>in this proceeding?</w:t>
      </w:r>
    </w:p>
    <w:p w14:paraId="63B6D806" w14:textId="77777777" w:rsidR="004431E2" w:rsidRDefault="005A2AD1" w:rsidP="004431E2">
      <w:pPr>
        <w:widowControl/>
        <w:autoSpaceDE/>
        <w:autoSpaceDN/>
        <w:adjustRightInd/>
        <w:spacing w:line="480" w:lineRule="auto"/>
        <w:ind w:left="720" w:hanging="720"/>
      </w:pPr>
      <w:r>
        <w:t>A:</w:t>
      </w:r>
      <w:r>
        <w:tab/>
        <w:t xml:space="preserve">Yes.  </w:t>
      </w:r>
      <w:r w:rsidR="00B97AAE">
        <w:t xml:space="preserve">Targeted action is required to respond to the abuses that customer complaints reveal to be increasingly prevalent.  The majority of these complaints relate to actions that, if verified, constitute direct violations of Connecticut law and PURA regulations.   </w:t>
      </w:r>
      <w:r w:rsidR="004431E2" w:rsidRPr="004431E2">
        <w:t>Moreover, when these abuses distort the conditions under which customers select and termi</w:t>
      </w:r>
      <w:r w:rsidR="006713C5">
        <w:t>nate their relationship with a S</w:t>
      </w:r>
      <w:r w:rsidR="004431E2" w:rsidRPr="004431E2">
        <w:t>upplier, they interfere with the efficient functioning of the market for electric generation services and thus harm consumers generally.</w:t>
      </w:r>
    </w:p>
    <w:p w14:paraId="788A4DBF" w14:textId="77777777" w:rsidR="00A2500D" w:rsidRPr="004431E2" w:rsidRDefault="00A2500D" w:rsidP="004431E2">
      <w:pPr>
        <w:widowControl/>
        <w:autoSpaceDE/>
        <w:autoSpaceDN/>
        <w:adjustRightInd/>
        <w:spacing w:line="480" w:lineRule="auto"/>
        <w:ind w:left="720" w:hanging="720"/>
      </w:pPr>
    </w:p>
    <w:p w14:paraId="6CD583FB" w14:textId="77777777" w:rsidR="00E43652" w:rsidRDefault="00E43652" w:rsidP="006B2C15">
      <w:pPr>
        <w:widowControl/>
        <w:autoSpaceDE/>
        <w:autoSpaceDN/>
        <w:adjustRightInd/>
        <w:spacing w:line="480" w:lineRule="auto"/>
        <w:ind w:left="720"/>
      </w:pPr>
      <w:r>
        <w:t xml:space="preserve">However, </w:t>
      </w:r>
      <w:r w:rsidR="00B97AAE">
        <w:t xml:space="preserve">as such </w:t>
      </w:r>
      <w:r w:rsidR="00A008B8">
        <w:t xml:space="preserve">sales and marketing practices </w:t>
      </w:r>
      <w:r w:rsidR="00C92E65">
        <w:t xml:space="preserve">persist, </w:t>
      </w:r>
      <w:r w:rsidR="00B97AAE">
        <w:t xml:space="preserve">it should be clear that </w:t>
      </w:r>
      <w:r>
        <w:t xml:space="preserve">simply identifying various forms of conduct as improper does not stop </w:t>
      </w:r>
      <w:r w:rsidR="006F3E33">
        <w:t xml:space="preserve">improper conduct </w:t>
      </w:r>
      <w:r>
        <w:t xml:space="preserve">from occurring.  </w:t>
      </w:r>
      <w:r w:rsidR="00A008B8">
        <w:t>Without adequate enforcement mechanisms,</w:t>
      </w:r>
      <w:r w:rsidR="00A93FF2">
        <w:t xml:space="preserve"> Supplier</w:t>
      </w:r>
      <w:r w:rsidR="00A008B8">
        <w:t xml:space="preserve">s can simply flout rules and requirements. </w:t>
      </w:r>
      <w:r w:rsidR="00373A50">
        <w:t xml:space="preserve"> Bearing that in mind, </w:t>
      </w:r>
      <w:r w:rsidR="006713C5">
        <w:t>we</w:t>
      </w:r>
      <w:r w:rsidR="00A008B8">
        <w:t xml:space="preserve"> </w:t>
      </w:r>
      <w:r>
        <w:t xml:space="preserve">recommend that </w:t>
      </w:r>
      <w:r w:rsidR="001B0DBF">
        <w:t xml:space="preserve">PURA </w:t>
      </w:r>
      <w:r>
        <w:t xml:space="preserve">take specific actions to </w:t>
      </w:r>
      <w:r w:rsidR="00E90372">
        <w:t xml:space="preserve">increase </w:t>
      </w:r>
      <w:r w:rsidR="001B0DBF">
        <w:t xml:space="preserve">the </w:t>
      </w:r>
      <w:r w:rsidR="00E90372">
        <w:t>accountability of</w:t>
      </w:r>
      <w:r w:rsidR="006713C5">
        <w:t xml:space="preserve"> S</w:t>
      </w:r>
      <w:r w:rsidR="00E90372">
        <w:t xml:space="preserve">uppliers </w:t>
      </w:r>
      <w:r w:rsidR="001B0DBF">
        <w:t xml:space="preserve">when customers report conduct prohibited by </w:t>
      </w:r>
      <w:r w:rsidR="00B308F5">
        <w:t>Conn. Gen. Stat. s</w:t>
      </w:r>
      <w:r w:rsidR="001B0DBF">
        <w:t>ection 16-245</w:t>
      </w:r>
      <w:r w:rsidR="00B308F5">
        <w:t>o</w:t>
      </w:r>
      <w:r w:rsidR="001B0DBF">
        <w:t xml:space="preserve"> </w:t>
      </w:r>
      <w:r w:rsidR="00250BB1">
        <w:t xml:space="preserve">or any regulation adopted by PURA for purposes of implementing that law.  </w:t>
      </w:r>
    </w:p>
    <w:p w14:paraId="56352E17" w14:textId="77777777" w:rsidR="005E270E" w:rsidRPr="000A48BB" w:rsidRDefault="005E270E" w:rsidP="005E270E">
      <w:pPr>
        <w:widowControl/>
        <w:autoSpaceDE/>
        <w:autoSpaceDN/>
        <w:adjustRightInd/>
        <w:spacing w:line="480" w:lineRule="auto"/>
        <w:rPr>
          <w:b/>
        </w:rPr>
      </w:pPr>
      <w:r w:rsidRPr="000A48BB">
        <w:rPr>
          <w:b/>
        </w:rPr>
        <w:t>Q:</w:t>
      </w:r>
      <w:r w:rsidRPr="000A48BB">
        <w:rPr>
          <w:b/>
        </w:rPr>
        <w:tab/>
        <w:t>Does PURA have authority to adopt the remedies you recommend?</w:t>
      </w:r>
    </w:p>
    <w:p w14:paraId="51361693" w14:textId="77777777" w:rsidR="00046443" w:rsidRDefault="005E270E" w:rsidP="007B501A">
      <w:pPr>
        <w:widowControl/>
        <w:autoSpaceDE/>
        <w:autoSpaceDN/>
        <w:adjustRightInd/>
        <w:spacing w:line="480" w:lineRule="auto"/>
        <w:ind w:left="720" w:hanging="720"/>
      </w:pPr>
      <w:r>
        <w:t>A:</w:t>
      </w:r>
      <w:r>
        <w:tab/>
        <w:t xml:space="preserve">Yes.  </w:t>
      </w:r>
      <w:r w:rsidR="00214D57">
        <w:t>Conn. Gen. Stat. s</w:t>
      </w:r>
      <w:r w:rsidR="00E45AD2">
        <w:t xml:space="preserve">ection </w:t>
      </w:r>
      <w:r w:rsidR="00864AF5">
        <w:t>16-245o</w:t>
      </w:r>
      <w:r w:rsidR="00E45AD2">
        <w:t xml:space="preserve">, which has some very specific requirements pertaining to </w:t>
      </w:r>
      <w:r w:rsidR="00046443">
        <w:t>how</w:t>
      </w:r>
      <w:r w:rsidR="00A93FF2">
        <w:t xml:space="preserve"> Supplier</w:t>
      </w:r>
      <w:r w:rsidR="00046443">
        <w:t>s can go about enrolling new customers, makes it clear that serious consequences should result for</w:t>
      </w:r>
      <w:r w:rsidR="00A93FF2">
        <w:t xml:space="preserve"> Supplier</w:t>
      </w:r>
      <w:r w:rsidR="00046443">
        <w:t>s who fail to adhere to</w:t>
      </w:r>
      <w:r w:rsidR="003A3C82">
        <w:t xml:space="preserve"> its provisions.</w:t>
      </w:r>
      <w:r w:rsidR="00046443">
        <w:t xml:space="preserve">  </w:t>
      </w:r>
      <w:r w:rsidR="00E45AD2">
        <w:t xml:space="preserve"> </w:t>
      </w:r>
      <w:r w:rsidR="00046443">
        <w:t>S</w:t>
      </w:r>
      <w:r w:rsidR="00C42941">
        <w:t>ubsections (i) and (j) state</w:t>
      </w:r>
      <w:r w:rsidR="00DB6C6C">
        <w:t xml:space="preserve"> (emphases added)</w:t>
      </w:r>
      <w:r w:rsidR="00C42941">
        <w:t>:</w:t>
      </w:r>
    </w:p>
    <w:p w14:paraId="230CE6A9" w14:textId="77777777" w:rsidR="00046443" w:rsidRDefault="00046443" w:rsidP="007B501A">
      <w:pPr>
        <w:widowControl/>
        <w:spacing w:before="120"/>
        <w:ind w:left="1008" w:right="720"/>
      </w:pPr>
      <w:r>
        <w:rPr>
          <w:b/>
          <w:bCs/>
        </w:rPr>
        <w:t xml:space="preserve">(i) </w:t>
      </w:r>
      <w:r w:rsidRPr="00225F3A">
        <w:rPr>
          <w:u w:val="single"/>
        </w:rPr>
        <w:t>Any violation of this section</w:t>
      </w:r>
      <w:r>
        <w:t xml:space="preserve"> shall be deemed an unfair or deceptive trade practice under subsection (a) of </w:t>
      </w:r>
      <w:r>
        <w:rPr>
          <w:i/>
          <w:iCs/>
        </w:rPr>
        <w:t>section 42-110b</w:t>
      </w:r>
      <w:r>
        <w:t>. Any contract for electric generation services that the authority finds to be the product of unfair or deceptive marketing practices or in material violation of the provisions of this section shall be void and unenforceable. Any waiver of the provisions of this section by a customer of electric generation services shall be deemed void and unenforceable by the electric</w:t>
      </w:r>
      <w:r w:rsidR="00A93FF2">
        <w:t xml:space="preserve"> Supplier</w:t>
      </w:r>
      <w:r>
        <w:t>.</w:t>
      </w:r>
    </w:p>
    <w:p w14:paraId="40F9B264" w14:textId="77777777" w:rsidR="0099161D" w:rsidRDefault="00046443" w:rsidP="00F72542">
      <w:pPr>
        <w:widowControl/>
        <w:spacing w:before="120"/>
        <w:ind w:left="1008" w:right="720"/>
      </w:pPr>
      <w:r>
        <w:rPr>
          <w:b/>
          <w:bCs/>
        </w:rPr>
        <w:t xml:space="preserve">(j) </w:t>
      </w:r>
      <w:r w:rsidRPr="00225F3A">
        <w:rPr>
          <w:u w:val="single"/>
        </w:rPr>
        <w:t>Any violation or failure to comply with any provision of this section</w:t>
      </w:r>
      <w:r>
        <w:t xml:space="preserve"> shall be subject to (1) civil penalties by the authority in accordance with </w:t>
      </w:r>
      <w:r>
        <w:rPr>
          <w:i/>
          <w:iCs/>
        </w:rPr>
        <w:t>section 16-41</w:t>
      </w:r>
      <w:r>
        <w:t>, (2) the suspension or revocation of an electric</w:t>
      </w:r>
      <w:r w:rsidR="00A93FF2">
        <w:t xml:space="preserve"> Supplier</w:t>
      </w:r>
      <w:r>
        <w:t xml:space="preserve"> or aggregator's license, or (3) a prohibition on accepting new customers following a hearing that is conducted as a contested case in accordance with chapter 54.</w:t>
      </w:r>
      <w:r w:rsidR="00225F3A">
        <w:rPr>
          <w:rStyle w:val="FootnoteReference"/>
        </w:rPr>
        <w:footnoteReference w:id="68"/>
      </w:r>
      <w:r w:rsidR="00225F3A">
        <w:t xml:space="preserve">  </w:t>
      </w:r>
    </w:p>
    <w:p w14:paraId="463D8DBB" w14:textId="77777777" w:rsidR="005E270E" w:rsidRDefault="005E270E" w:rsidP="00046443">
      <w:pPr>
        <w:widowControl/>
        <w:spacing w:before="120"/>
        <w:ind w:firstLine="360"/>
      </w:pPr>
    </w:p>
    <w:p w14:paraId="42730BE3" w14:textId="77777777" w:rsidR="005E270E" w:rsidRDefault="007B501A" w:rsidP="007B501A">
      <w:pPr>
        <w:widowControl/>
        <w:autoSpaceDE/>
        <w:autoSpaceDN/>
        <w:adjustRightInd/>
        <w:spacing w:line="480" w:lineRule="auto"/>
        <w:ind w:left="720"/>
      </w:pPr>
      <w:r>
        <w:t xml:space="preserve">These provisions give the Authority very powerful tools for addressing abuses. </w:t>
      </w:r>
      <w:r w:rsidR="00C42941">
        <w:t xml:space="preserve"> Whereas in the past PURA may have felt the need to wait until a provider had engaged in multiple “bad acts” before </w:t>
      </w:r>
      <w:r w:rsidR="0084097B">
        <w:t xml:space="preserve">it </w:t>
      </w:r>
      <w:r w:rsidR="00C42941">
        <w:t xml:space="preserve">could apply sanctions, these provisions make clear that “any violation,” once substantiated, warrants a strong response.  </w:t>
      </w:r>
      <w:r w:rsidR="006B2C15">
        <w:t xml:space="preserve"> </w:t>
      </w:r>
    </w:p>
    <w:p w14:paraId="529BCBD8" w14:textId="77777777" w:rsidR="00E30902" w:rsidRDefault="005E270E" w:rsidP="007B501A">
      <w:pPr>
        <w:widowControl/>
        <w:autoSpaceDE/>
        <w:autoSpaceDN/>
        <w:adjustRightInd/>
        <w:spacing w:line="480" w:lineRule="auto"/>
        <w:ind w:left="720" w:hanging="720"/>
        <w:rPr>
          <w:b/>
        </w:rPr>
      </w:pPr>
      <w:r w:rsidRPr="000A48BB">
        <w:rPr>
          <w:b/>
        </w:rPr>
        <w:t>Q:</w:t>
      </w:r>
      <w:r w:rsidRPr="000A48BB">
        <w:rPr>
          <w:b/>
        </w:rPr>
        <w:tab/>
      </w:r>
      <w:r w:rsidR="00B860CE" w:rsidRPr="000A48BB">
        <w:rPr>
          <w:b/>
        </w:rPr>
        <w:t>Might PURA need more resources in order to follow up on complaints it receives from consumers?</w:t>
      </w:r>
    </w:p>
    <w:p w14:paraId="3DE80924" w14:textId="77777777" w:rsidR="00E45AD2" w:rsidRDefault="005E270E" w:rsidP="007B501A">
      <w:pPr>
        <w:widowControl/>
        <w:autoSpaceDE/>
        <w:autoSpaceDN/>
        <w:adjustRightInd/>
        <w:spacing w:line="480" w:lineRule="auto"/>
        <w:ind w:left="720" w:hanging="720"/>
      </w:pPr>
      <w:r>
        <w:t xml:space="preserve">A: </w:t>
      </w:r>
      <w:r>
        <w:tab/>
      </w:r>
      <w:r w:rsidR="00B860CE">
        <w:t xml:space="preserve">Absolutely.  </w:t>
      </w:r>
      <w:r>
        <w:t>T</w:t>
      </w:r>
      <w:r w:rsidR="00E3767F">
        <w:t xml:space="preserve">o put actual teeth in these requirements, PURA should </w:t>
      </w:r>
      <w:r w:rsidR="006F3E33">
        <w:t>increase</w:t>
      </w:r>
      <w:r w:rsidR="004D0EB7">
        <w:t xml:space="preserve"> </w:t>
      </w:r>
      <w:r w:rsidR="00E30902">
        <w:t xml:space="preserve">the </w:t>
      </w:r>
      <w:r w:rsidR="004D0EB7">
        <w:t xml:space="preserve">investigative capabilities of </w:t>
      </w:r>
      <w:r w:rsidR="00E30902">
        <w:t xml:space="preserve">its </w:t>
      </w:r>
      <w:r w:rsidR="004D0EB7">
        <w:t xml:space="preserve">complaint unit so that it can follow up on these complaints </w:t>
      </w:r>
      <w:r w:rsidR="00F72542">
        <w:t xml:space="preserve">in a more </w:t>
      </w:r>
      <w:r w:rsidR="004D0EB7">
        <w:t>timely manner</w:t>
      </w:r>
      <w:r w:rsidR="00B860CE">
        <w:t>.</w:t>
      </w:r>
      <w:r w:rsidR="006F3E33">
        <w:t xml:space="preserve"> </w:t>
      </w:r>
      <w:r w:rsidR="00B860CE">
        <w:t xml:space="preserve"> Where an adjudicatory hearing is required, PURA should make sure that cases are handled without undue delay and that complainants that lack the skill to present their claims effectively receive assistance.  </w:t>
      </w:r>
      <w:r w:rsidR="00E3767F">
        <w:t xml:space="preserve"> </w:t>
      </w:r>
      <w:r w:rsidR="004D0EB7">
        <w:t xml:space="preserve"> </w:t>
      </w:r>
    </w:p>
    <w:p w14:paraId="09B38498" w14:textId="77777777" w:rsidR="007303EE" w:rsidRPr="000A48BB" w:rsidRDefault="007303EE" w:rsidP="007B501A">
      <w:pPr>
        <w:widowControl/>
        <w:autoSpaceDE/>
        <w:autoSpaceDN/>
        <w:adjustRightInd/>
        <w:spacing w:line="480" w:lineRule="auto"/>
        <w:ind w:left="720" w:hanging="720"/>
        <w:rPr>
          <w:b/>
        </w:rPr>
      </w:pPr>
      <w:r w:rsidRPr="000A48BB">
        <w:rPr>
          <w:b/>
        </w:rPr>
        <w:t>Q:</w:t>
      </w:r>
      <w:r w:rsidRPr="000A48BB">
        <w:rPr>
          <w:b/>
        </w:rPr>
        <w:tab/>
        <w:t>If PURA decides that a civil penalty is the appropriate sanction for a violation, what should guide its determination of the amount of the penalty?</w:t>
      </w:r>
    </w:p>
    <w:p w14:paraId="46F27EE1" w14:textId="77777777" w:rsidR="00F72542" w:rsidRDefault="007303EE" w:rsidP="007B501A">
      <w:pPr>
        <w:widowControl/>
        <w:autoSpaceDE/>
        <w:autoSpaceDN/>
        <w:adjustRightInd/>
        <w:spacing w:line="480" w:lineRule="auto"/>
        <w:ind w:left="720" w:hanging="720"/>
      </w:pPr>
      <w:r>
        <w:t>A:</w:t>
      </w:r>
      <w:r>
        <w:tab/>
      </w:r>
      <w:r w:rsidR="0099161D">
        <w:t>Penalties should prov</w:t>
      </w:r>
      <w:r w:rsidR="006713C5">
        <w:t>ide sufficient incentive for a S</w:t>
      </w:r>
      <w:r w:rsidR="0099161D">
        <w:t xml:space="preserve">upplier to stop engaging in the deceptive or unfair trade practices.  To the extent a </w:t>
      </w:r>
      <w:r w:rsidR="006713C5">
        <w:t>S</w:t>
      </w:r>
      <w:r w:rsidR="0099161D">
        <w:t xml:space="preserve">upplier is only required to “make whole” those customers who complained, such penalties would fail to recognize that there are likely numerous other customers who did not complain of the same conduct.  Penalties need to be severe enough to prevent </w:t>
      </w:r>
      <w:r w:rsidR="006713C5">
        <w:t>S</w:t>
      </w:r>
      <w:r w:rsidR="0099161D">
        <w:t>uppliers from thinking of them as merely a cost of doing business in Connecticut.</w:t>
      </w:r>
    </w:p>
    <w:p w14:paraId="5FFA5866" w14:textId="77777777" w:rsidR="00550862" w:rsidRPr="000A48BB" w:rsidRDefault="005E270E" w:rsidP="007B501A">
      <w:pPr>
        <w:widowControl/>
        <w:autoSpaceDE/>
        <w:autoSpaceDN/>
        <w:adjustRightInd/>
        <w:spacing w:line="480" w:lineRule="auto"/>
        <w:ind w:left="720" w:hanging="720"/>
        <w:rPr>
          <w:b/>
        </w:rPr>
      </w:pPr>
      <w:r w:rsidRPr="000A48BB">
        <w:rPr>
          <w:b/>
        </w:rPr>
        <w:t>Q:</w:t>
      </w:r>
      <w:r w:rsidRPr="000A48BB">
        <w:rPr>
          <w:b/>
        </w:rPr>
        <w:tab/>
      </w:r>
      <w:r w:rsidR="004D2674">
        <w:rPr>
          <w:b/>
        </w:rPr>
        <w:t xml:space="preserve">How should PURA respond when there is </w:t>
      </w:r>
      <w:r w:rsidR="003B42C4">
        <w:rPr>
          <w:b/>
        </w:rPr>
        <w:t xml:space="preserve">a </w:t>
      </w:r>
      <w:r w:rsidR="004D2674">
        <w:rPr>
          <w:b/>
        </w:rPr>
        <w:t xml:space="preserve">mounting body of complaints with regard to a particular Supplier? </w:t>
      </w:r>
    </w:p>
    <w:p w14:paraId="221E3904" w14:textId="77777777" w:rsidR="00250BB1" w:rsidRDefault="00E43652" w:rsidP="007B501A">
      <w:pPr>
        <w:widowControl/>
        <w:autoSpaceDE/>
        <w:autoSpaceDN/>
        <w:adjustRightInd/>
        <w:spacing w:line="480" w:lineRule="auto"/>
        <w:ind w:left="720" w:hanging="720"/>
      </w:pPr>
      <w:r>
        <w:t>A:</w:t>
      </w:r>
      <w:r>
        <w:tab/>
      </w:r>
      <w:r w:rsidR="00250BB1">
        <w:t>While a</w:t>
      </w:r>
      <w:r w:rsidR="00A93FF2">
        <w:t xml:space="preserve"> Supplier</w:t>
      </w:r>
      <w:r w:rsidR="00250BB1">
        <w:t xml:space="preserve"> certainly deserves the opportunity to respond to </w:t>
      </w:r>
      <w:r w:rsidR="004D2674">
        <w:t xml:space="preserve">individual </w:t>
      </w:r>
      <w:r w:rsidR="00250BB1">
        <w:t>complaint</w:t>
      </w:r>
      <w:r w:rsidR="00550862">
        <w:t xml:space="preserve">s, once the level of complaints </w:t>
      </w:r>
      <w:r w:rsidR="00250BB1">
        <w:t xml:space="preserve">exceeds a threshold </w:t>
      </w:r>
      <w:r w:rsidR="00550862">
        <w:t xml:space="preserve">set by the Authority </w:t>
      </w:r>
      <w:r w:rsidR="00250BB1">
        <w:t>(</w:t>
      </w:r>
      <w:r w:rsidR="00250BB1" w:rsidRPr="006D1CA0">
        <w:rPr>
          <w:i/>
        </w:rPr>
        <w:t>e.g.,</w:t>
      </w:r>
      <w:r w:rsidR="00250BB1">
        <w:t xml:space="preserve"> </w:t>
      </w:r>
      <w:r w:rsidR="00E30902">
        <w:t>0</w:t>
      </w:r>
      <w:r w:rsidR="00250BB1">
        <w:t>.</w:t>
      </w:r>
      <w:r w:rsidR="003E3B79">
        <w:t>2</w:t>
      </w:r>
      <w:r w:rsidR="00250BB1">
        <w:t>5 percent of customers served</w:t>
      </w:r>
      <w:r w:rsidR="00550862">
        <w:t xml:space="preserve"> over the course of </w:t>
      </w:r>
      <w:r w:rsidR="00250BB1">
        <w:t>12</w:t>
      </w:r>
      <w:r w:rsidR="00550862">
        <w:t xml:space="preserve"> </w:t>
      </w:r>
      <w:r w:rsidR="00250BB1">
        <w:t>month</w:t>
      </w:r>
      <w:r w:rsidR="00550862">
        <w:t>s)</w:t>
      </w:r>
      <w:r w:rsidR="00250BB1">
        <w:t>,</w:t>
      </w:r>
      <w:r w:rsidR="009F51B0">
        <w:rPr>
          <w:rStyle w:val="FootnoteReference"/>
        </w:rPr>
        <w:footnoteReference w:id="69"/>
      </w:r>
      <w:r w:rsidR="00250BB1">
        <w:t xml:space="preserve"> there should be a presumption that the</w:t>
      </w:r>
      <w:r w:rsidR="00A93FF2">
        <w:t xml:space="preserve"> Supplier</w:t>
      </w:r>
      <w:r w:rsidR="00250BB1">
        <w:t>’s conduct warrants closer examination, in a license review proceeding.</w:t>
      </w:r>
    </w:p>
    <w:p w14:paraId="7C7E20DF" w14:textId="77777777" w:rsidR="00501005" w:rsidRPr="000A48BB" w:rsidRDefault="00501005" w:rsidP="007B501A">
      <w:pPr>
        <w:widowControl/>
        <w:autoSpaceDE/>
        <w:autoSpaceDN/>
        <w:adjustRightInd/>
        <w:spacing w:line="480" w:lineRule="auto"/>
        <w:ind w:left="720" w:hanging="720"/>
        <w:rPr>
          <w:b/>
        </w:rPr>
      </w:pPr>
      <w:r w:rsidRPr="000A48BB">
        <w:rPr>
          <w:b/>
        </w:rPr>
        <w:t>Q:</w:t>
      </w:r>
      <w:r w:rsidRPr="000A48BB">
        <w:rPr>
          <w:b/>
        </w:rPr>
        <w:tab/>
        <w:t>What additional measures should PURA adopt to ensure that</w:t>
      </w:r>
      <w:r w:rsidR="00A93FF2">
        <w:rPr>
          <w:b/>
        </w:rPr>
        <w:t xml:space="preserve"> Supplier</w:t>
      </w:r>
      <w:r w:rsidRPr="000A48BB">
        <w:rPr>
          <w:b/>
        </w:rPr>
        <w:t>s (or anyone working on their behalf) do not harass customers with unwanted phone calls or take advantage of a customer’s lack of English language skills?</w:t>
      </w:r>
    </w:p>
    <w:p w14:paraId="0DC003B9" w14:textId="77777777" w:rsidR="00501005" w:rsidRDefault="00501005" w:rsidP="007B501A">
      <w:pPr>
        <w:widowControl/>
        <w:autoSpaceDE/>
        <w:autoSpaceDN/>
        <w:adjustRightInd/>
        <w:spacing w:line="480" w:lineRule="auto"/>
        <w:ind w:left="720" w:hanging="720"/>
      </w:pPr>
      <w:r>
        <w:t>A:</w:t>
      </w:r>
      <w:r>
        <w:tab/>
        <w:t>In 2011, the Authority adopted guidelines for sales and marketing practices that made clear that</w:t>
      </w:r>
      <w:r w:rsidR="00A93FF2">
        <w:t xml:space="preserve"> Supplier</w:t>
      </w:r>
      <w:r>
        <w:t>s were not to attempt repeated contacts with a customer once they were told to desist</w:t>
      </w:r>
      <w:r w:rsidR="0035242B">
        <w:t>.</w:t>
      </w:r>
      <w:r w:rsidR="00B26A97">
        <w:rPr>
          <w:rStyle w:val="FootnoteReference"/>
        </w:rPr>
        <w:footnoteReference w:id="70"/>
      </w:r>
      <w:r w:rsidR="0035242B">
        <w:t xml:space="preserve">  This was over and above the obligation to comply with the provisions of </w:t>
      </w:r>
      <w:r w:rsidR="007B501A" w:rsidRPr="007B501A">
        <w:t>the federal “Do Not Call” law</w:t>
      </w:r>
      <w:r w:rsidR="007B501A">
        <w:t>,</w:t>
      </w:r>
      <w:r w:rsidR="007B501A" w:rsidRPr="007B501A">
        <w:t xml:space="preserve"> the Telemarketing and Consumer Fraud and Abuse Prevention Act, 15 U.S.C. §</w:t>
      </w:r>
      <w:r w:rsidR="009C4798">
        <w:t xml:space="preserve"> </w:t>
      </w:r>
      <w:r w:rsidR="007B501A" w:rsidRPr="007B501A">
        <w:t xml:space="preserve">6101, </w:t>
      </w:r>
      <w:r w:rsidR="007B501A" w:rsidRPr="006D1CA0">
        <w:rPr>
          <w:i/>
        </w:rPr>
        <w:t>et seq.</w:t>
      </w:r>
      <w:r w:rsidR="007B501A" w:rsidRPr="007B501A">
        <w:t xml:space="preserve">, </w:t>
      </w:r>
      <w:r w:rsidR="007B501A">
        <w:t xml:space="preserve">and the </w:t>
      </w:r>
      <w:r w:rsidR="007B501A" w:rsidRPr="007B501A">
        <w:t>Telemarketing Sales Rule, 16 C</w:t>
      </w:r>
      <w:r w:rsidR="009C4798">
        <w:t>.</w:t>
      </w:r>
      <w:r w:rsidR="007B501A" w:rsidRPr="007B501A">
        <w:t>F</w:t>
      </w:r>
      <w:r w:rsidR="009C4798">
        <w:t>.</w:t>
      </w:r>
      <w:r w:rsidR="007B501A" w:rsidRPr="007B501A">
        <w:t>R</w:t>
      </w:r>
      <w:r w:rsidR="009C4798">
        <w:t>.</w:t>
      </w:r>
      <w:r w:rsidR="007B501A" w:rsidRPr="007B501A">
        <w:t xml:space="preserve"> Part 310.</w:t>
      </w:r>
      <w:r w:rsidR="0035242B">
        <w:t xml:space="preserve">  The guidelines also provided that:</w:t>
      </w:r>
    </w:p>
    <w:p w14:paraId="1A5B9BAA" w14:textId="77777777" w:rsidR="0035242B" w:rsidRDefault="00501005" w:rsidP="00A2500D">
      <w:pPr>
        <w:widowControl/>
        <w:autoSpaceDE/>
        <w:autoSpaceDN/>
        <w:adjustRightInd/>
        <w:spacing w:after="240"/>
        <w:ind w:left="1440" w:right="720"/>
      </w:pPr>
      <w:r>
        <w:t>Where it is apparent that the customer’s English language skills are insufficient to allow the customer to understand and respond to the information conveyed by the agent or where the customer or another third-party informs the agent of this circumstance, the agent shall immediately transfer the customer to a representative who speaks the customer’s language, if such a representative is available, or terminate the call</w:t>
      </w:r>
      <w:r w:rsidR="0035242B">
        <w:t>.</w:t>
      </w:r>
    </w:p>
    <w:p w14:paraId="476F78DD" w14:textId="77777777" w:rsidR="00501005" w:rsidRPr="009654F0" w:rsidRDefault="00501005" w:rsidP="007B501A">
      <w:pPr>
        <w:widowControl/>
        <w:autoSpaceDE/>
        <w:autoSpaceDN/>
        <w:adjustRightInd/>
        <w:spacing w:line="480" w:lineRule="auto"/>
        <w:ind w:left="720" w:hanging="720"/>
        <w:rPr>
          <w:b/>
        </w:rPr>
      </w:pPr>
      <w:r w:rsidRPr="009654F0">
        <w:rPr>
          <w:b/>
        </w:rPr>
        <w:t>Q:</w:t>
      </w:r>
      <w:r w:rsidRPr="009654F0">
        <w:rPr>
          <w:b/>
        </w:rPr>
        <w:tab/>
        <w:t>Did these guidelines contain similar provision for protecting customers against harassment by door-to-door sales persons?</w:t>
      </w:r>
    </w:p>
    <w:p w14:paraId="1A7C814A" w14:textId="77777777" w:rsidR="0035242B" w:rsidRDefault="00501005" w:rsidP="007B501A">
      <w:pPr>
        <w:widowControl/>
        <w:autoSpaceDE/>
        <w:autoSpaceDN/>
        <w:adjustRightInd/>
        <w:spacing w:line="480" w:lineRule="auto"/>
        <w:ind w:left="720" w:hanging="720"/>
      </w:pPr>
      <w:r>
        <w:t xml:space="preserve">A:  </w:t>
      </w:r>
      <w:r>
        <w:tab/>
        <w:t>Yes</w:t>
      </w:r>
      <w:r w:rsidR="0035242B">
        <w:t xml:space="preserve">.  Under (d) “Door-to-Door Sales/Marketing,” the guidelines included a provision, “(3) Ceasing further contact,” that states:  </w:t>
      </w:r>
    </w:p>
    <w:p w14:paraId="3578C6E8" w14:textId="77777777" w:rsidR="00501005" w:rsidRDefault="00501005" w:rsidP="007A6409">
      <w:pPr>
        <w:widowControl/>
        <w:autoSpaceDE/>
        <w:autoSpaceDN/>
        <w:adjustRightInd/>
        <w:spacing w:after="240"/>
        <w:ind w:left="1440" w:right="720"/>
      </w:pPr>
      <w:r w:rsidRPr="00501005">
        <w:t>The agent shall immediately leave a customer’s premises when requested to do so by the customer or the owner or an occupant of the premises.</w:t>
      </w:r>
      <w:r w:rsidR="00A93FF2">
        <w:t xml:space="preserve"> Supplier</w:t>
      </w:r>
      <w:r w:rsidRPr="00501005">
        <w:t>s and Aggregators shall respect any individual’s request to be exempted from further door-to-door marketing or sales contacts and should annotate any existing marketing or sales databases to reflect this request.</w:t>
      </w:r>
    </w:p>
    <w:p w14:paraId="75736FA5" w14:textId="77777777" w:rsidR="00501005" w:rsidRPr="009654F0" w:rsidRDefault="00501005" w:rsidP="007B501A">
      <w:pPr>
        <w:widowControl/>
        <w:autoSpaceDE/>
        <w:autoSpaceDN/>
        <w:adjustRightInd/>
        <w:spacing w:line="480" w:lineRule="auto"/>
        <w:ind w:left="720" w:hanging="720"/>
        <w:rPr>
          <w:b/>
        </w:rPr>
      </w:pPr>
      <w:r w:rsidRPr="009654F0">
        <w:rPr>
          <w:b/>
        </w:rPr>
        <w:t xml:space="preserve">Q:  </w:t>
      </w:r>
      <w:r w:rsidRPr="009654F0">
        <w:rPr>
          <w:b/>
        </w:rPr>
        <w:tab/>
        <w:t xml:space="preserve">Were these guidelines incorporated into the 2011 revisions to </w:t>
      </w:r>
      <w:r w:rsidR="00545B18">
        <w:rPr>
          <w:b/>
        </w:rPr>
        <w:t xml:space="preserve">Conn. Gen. Stat. </w:t>
      </w:r>
      <w:r w:rsidRPr="009654F0">
        <w:rPr>
          <w:b/>
        </w:rPr>
        <w:t xml:space="preserve">section </w:t>
      </w:r>
      <w:r w:rsidR="00864AF5">
        <w:rPr>
          <w:b/>
        </w:rPr>
        <w:t>16-245o</w:t>
      </w:r>
      <w:r w:rsidRPr="009654F0">
        <w:rPr>
          <w:b/>
        </w:rPr>
        <w:t>?</w:t>
      </w:r>
    </w:p>
    <w:p w14:paraId="688F0413" w14:textId="77777777" w:rsidR="00501005" w:rsidRDefault="00501005" w:rsidP="007B501A">
      <w:pPr>
        <w:widowControl/>
        <w:autoSpaceDE/>
        <w:autoSpaceDN/>
        <w:adjustRightInd/>
        <w:spacing w:line="480" w:lineRule="auto"/>
        <w:ind w:left="720" w:hanging="720"/>
      </w:pPr>
      <w:r>
        <w:t>A:</w:t>
      </w:r>
      <w:r>
        <w:tab/>
        <w:t>No, but they continue to be good ideas that should be implemented, either through regulation, if permitted,</w:t>
      </w:r>
      <w:r w:rsidR="00556812">
        <w:rPr>
          <w:rStyle w:val="FootnoteReference"/>
        </w:rPr>
        <w:footnoteReference w:id="71"/>
      </w:r>
      <w:r w:rsidR="00556812">
        <w:t xml:space="preserve"> </w:t>
      </w:r>
      <w:r>
        <w:t>or by seeking further legislative changes.</w:t>
      </w:r>
    </w:p>
    <w:p w14:paraId="519C45E9" w14:textId="77777777" w:rsidR="00E43652" w:rsidRPr="009654F0" w:rsidRDefault="00E43652" w:rsidP="007B501A">
      <w:pPr>
        <w:widowControl/>
        <w:autoSpaceDE/>
        <w:autoSpaceDN/>
        <w:adjustRightInd/>
        <w:spacing w:line="480" w:lineRule="auto"/>
        <w:ind w:left="720" w:hanging="720"/>
        <w:rPr>
          <w:b/>
        </w:rPr>
      </w:pPr>
      <w:r w:rsidRPr="009654F0">
        <w:rPr>
          <w:b/>
        </w:rPr>
        <w:t>Q:</w:t>
      </w:r>
      <w:r w:rsidRPr="009654F0">
        <w:rPr>
          <w:b/>
        </w:rPr>
        <w:tab/>
        <w:t>What should PURA do in response to complaints that customers have difficulty reaching</w:t>
      </w:r>
      <w:r w:rsidR="00A93FF2">
        <w:rPr>
          <w:b/>
        </w:rPr>
        <w:t xml:space="preserve"> Supplier</w:t>
      </w:r>
      <w:r w:rsidR="00E30902">
        <w:rPr>
          <w:b/>
        </w:rPr>
        <w:t>s’</w:t>
      </w:r>
      <w:r w:rsidRPr="009654F0">
        <w:rPr>
          <w:b/>
        </w:rPr>
        <w:t xml:space="preserve"> customer support representatives in a timely manner?</w:t>
      </w:r>
    </w:p>
    <w:p w14:paraId="7332E2E5" w14:textId="77777777" w:rsidR="00DD4FD7" w:rsidRDefault="00E43652" w:rsidP="007B501A">
      <w:pPr>
        <w:widowControl/>
        <w:autoSpaceDE/>
        <w:autoSpaceDN/>
        <w:adjustRightInd/>
        <w:spacing w:line="480" w:lineRule="auto"/>
        <w:ind w:left="720" w:hanging="720"/>
      </w:pPr>
      <w:r>
        <w:t>A:</w:t>
      </w:r>
      <w:r>
        <w:tab/>
      </w:r>
      <w:r w:rsidR="00DD4FD7">
        <w:t>PURA should require a</w:t>
      </w:r>
      <w:r w:rsidR="00A93FF2">
        <w:t xml:space="preserve"> Supplier</w:t>
      </w:r>
      <w:r w:rsidR="00DD4FD7">
        <w:t xml:space="preserve"> to provide evidence that it is maintaining a customer support function that is accessible by telephone, toll-free, during normal business hours, with a wait of no more than 5 minutes</w:t>
      </w:r>
      <w:r w:rsidR="009C73FD">
        <w:t xml:space="preserve"> until the</w:t>
      </w:r>
      <w:r w:rsidR="00E92DE2">
        <w:t xml:space="preserve"> customer </w:t>
      </w:r>
      <w:r w:rsidR="009C73FD">
        <w:t>reach</w:t>
      </w:r>
      <w:r w:rsidR="00E92DE2">
        <w:t>es</w:t>
      </w:r>
      <w:r w:rsidR="009C73FD">
        <w:t xml:space="preserve"> either a live person or </w:t>
      </w:r>
      <w:r w:rsidR="00E92DE2">
        <w:t>is</w:t>
      </w:r>
      <w:r w:rsidR="009C73FD">
        <w:t xml:space="preserve"> able to leave a message for call-back.  If the customer leaves a message, the</w:t>
      </w:r>
      <w:r w:rsidR="00A93FF2">
        <w:t xml:space="preserve"> Supplier</w:t>
      </w:r>
      <w:r w:rsidR="009C73FD">
        <w:t xml:space="preserve"> should be required to call back within 24 hours</w:t>
      </w:r>
      <w:r w:rsidR="00DD4FD7">
        <w:t xml:space="preserve">.  </w:t>
      </w:r>
      <w:r w:rsidR="00E92DE2">
        <w:t>In the course of the telephone conversation with the customer, the</w:t>
      </w:r>
      <w:r w:rsidR="00A93FF2">
        <w:t xml:space="preserve"> Supplier</w:t>
      </w:r>
      <w:r w:rsidR="00E92DE2">
        <w:t xml:space="preserve">’s representative should be required to inform the customer of PURA’s customer complaint line.  </w:t>
      </w:r>
      <w:r w:rsidR="00DD4FD7">
        <w:t>The</w:t>
      </w:r>
      <w:r w:rsidR="00A93FF2">
        <w:t xml:space="preserve"> Supplier</w:t>
      </w:r>
      <w:r w:rsidR="00DD4FD7">
        <w:t xml:space="preserve"> should be required to report</w:t>
      </w:r>
      <w:r w:rsidR="009C73FD">
        <w:t xml:space="preserve"> to PURA monthly</w:t>
      </w:r>
      <w:r w:rsidR="00DD4FD7">
        <w:t xml:space="preserve"> on the number of calls handled and the primary reason for the contact.</w:t>
      </w:r>
    </w:p>
    <w:p w14:paraId="02375093" w14:textId="77777777" w:rsidR="0042248F" w:rsidRPr="0042248F" w:rsidRDefault="0042248F" w:rsidP="0042248F">
      <w:pPr>
        <w:widowControl/>
        <w:autoSpaceDE/>
        <w:autoSpaceDN/>
        <w:adjustRightInd/>
        <w:spacing w:line="480" w:lineRule="auto"/>
        <w:ind w:left="720" w:hanging="720"/>
        <w:rPr>
          <w:b/>
        </w:rPr>
      </w:pPr>
      <w:r w:rsidRPr="0042248F">
        <w:rPr>
          <w:b/>
        </w:rPr>
        <w:t>Q:</w:t>
      </w:r>
      <w:r w:rsidRPr="0042248F">
        <w:rPr>
          <w:b/>
        </w:rPr>
        <w:tab/>
        <w:t>You discuss how customers are being harmed by confusion and delay in switching away from a</w:t>
      </w:r>
      <w:r w:rsidR="00A93FF2">
        <w:rPr>
          <w:b/>
        </w:rPr>
        <w:t xml:space="preserve"> Supplier</w:t>
      </w:r>
      <w:r w:rsidRPr="0042248F">
        <w:rPr>
          <w:b/>
        </w:rPr>
        <w:t xml:space="preserve"> that is charging them high rates.  What do you recommend to address this problem?</w:t>
      </w:r>
    </w:p>
    <w:p w14:paraId="1F1AC1BD" w14:textId="77777777" w:rsidR="0042248F" w:rsidRDefault="0042248F" w:rsidP="0042248F">
      <w:pPr>
        <w:widowControl/>
        <w:autoSpaceDE/>
        <w:autoSpaceDN/>
        <w:adjustRightInd/>
        <w:spacing w:line="480" w:lineRule="auto"/>
        <w:ind w:left="720" w:hanging="720"/>
      </w:pPr>
      <w:r>
        <w:t>A:</w:t>
      </w:r>
      <w:r>
        <w:tab/>
        <w:t xml:space="preserve">PURA should regulate the process for switching, so that there is a uniform and clearly understood way for customers to make a switch.  As part of this process, PURA should take steps to ensure that customers obtain information on the fastest and least expensive path to switching to another electric generation service provider.  </w:t>
      </w:r>
    </w:p>
    <w:p w14:paraId="60873B30" w14:textId="77777777" w:rsidR="004431E2" w:rsidRDefault="00E43652" w:rsidP="007B501A">
      <w:pPr>
        <w:widowControl/>
        <w:autoSpaceDE/>
        <w:autoSpaceDN/>
        <w:adjustRightInd/>
        <w:spacing w:line="480" w:lineRule="auto"/>
        <w:ind w:left="720" w:hanging="720"/>
        <w:rPr>
          <w:b/>
        </w:rPr>
      </w:pPr>
      <w:r w:rsidRPr="009654F0">
        <w:rPr>
          <w:b/>
        </w:rPr>
        <w:t xml:space="preserve">Q:  </w:t>
      </w:r>
      <w:r w:rsidR="007B501A" w:rsidRPr="009654F0">
        <w:rPr>
          <w:b/>
        </w:rPr>
        <w:tab/>
      </w:r>
      <w:r w:rsidR="004431E2">
        <w:rPr>
          <w:b/>
        </w:rPr>
        <w:t xml:space="preserve">Are </w:t>
      </w:r>
      <w:r w:rsidR="00E30902">
        <w:rPr>
          <w:b/>
        </w:rPr>
        <w:t xml:space="preserve">additional </w:t>
      </w:r>
      <w:r w:rsidR="004431E2">
        <w:rPr>
          <w:b/>
        </w:rPr>
        <w:t xml:space="preserve">remedies </w:t>
      </w:r>
      <w:r w:rsidR="00E30902">
        <w:rPr>
          <w:b/>
        </w:rPr>
        <w:t xml:space="preserve">necessary </w:t>
      </w:r>
      <w:r w:rsidR="004431E2">
        <w:rPr>
          <w:b/>
        </w:rPr>
        <w:t>to address consumers’ concerns about “high rates” being charged by some</w:t>
      </w:r>
      <w:r w:rsidR="00A93FF2">
        <w:rPr>
          <w:b/>
        </w:rPr>
        <w:t xml:space="preserve"> Supplier</w:t>
      </w:r>
      <w:r w:rsidR="004431E2">
        <w:rPr>
          <w:b/>
        </w:rPr>
        <w:t>s</w:t>
      </w:r>
      <w:r w:rsidR="00B70675">
        <w:rPr>
          <w:b/>
        </w:rPr>
        <w:t>.</w:t>
      </w:r>
    </w:p>
    <w:p w14:paraId="3EF694E0" w14:textId="77777777" w:rsidR="004431E2" w:rsidRDefault="004431E2" w:rsidP="007B501A">
      <w:pPr>
        <w:widowControl/>
        <w:autoSpaceDE/>
        <w:autoSpaceDN/>
        <w:adjustRightInd/>
        <w:spacing w:line="480" w:lineRule="auto"/>
        <w:ind w:left="720" w:hanging="720"/>
      </w:pPr>
      <w:r>
        <w:t>A:</w:t>
      </w:r>
      <w:r>
        <w:tab/>
        <w:t xml:space="preserve">Yes.  </w:t>
      </w:r>
      <w:r w:rsidR="00556812">
        <w:t>The adoption of competitive retail supply for electric generation services is predicated in large part on bringing consumers lower rates.  If the reality is that some</w:t>
      </w:r>
      <w:r w:rsidR="00A93FF2">
        <w:t xml:space="preserve"> Supplier</w:t>
      </w:r>
      <w:r w:rsidR="00556812">
        <w:t xml:space="preserve">s are able to maintain rates that are much higher than what would prevail in a properly functioning competitive market, this goal is not being achieved and consumers are being harmed by </w:t>
      </w:r>
      <w:r w:rsidR="003B3F44">
        <w:t>this restructuring.</w:t>
      </w:r>
    </w:p>
    <w:p w14:paraId="14BA398F" w14:textId="77777777" w:rsidR="00E43652" w:rsidRPr="009654F0" w:rsidRDefault="004431E2" w:rsidP="007B501A">
      <w:pPr>
        <w:widowControl/>
        <w:autoSpaceDE/>
        <w:autoSpaceDN/>
        <w:adjustRightInd/>
        <w:spacing w:line="480" w:lineRule="auto"/>
        <w:ind w:left="720" w:hanging="720"/>
        <w:rPr>
          <w:b/>
        </w:rPr>
      </w:pPr>
      <w:r>
        <w:rPr>
          <w:b/>
        </w:rPr>
        <w:t>Q:</w:t>
      </w:r>
      <w:r>
        <w:rPr>
          <w:b/>
        </w:rPr>
        <w:tab/>
      </w:r>
      <w:r w:rsidR="00E43652" w:rsidRPr="009654F0">
        <w:rPr>
          <w:b/>
        </w:rPr>
        <w:t>What remedy might promote a better awareness by consumers about how the rates they are paying compare to other rates available in the market?</w:t>
      </w:r>
    </w:p>
    <w:p w14:paraId="473ED0CE" w14:textId="77777777" w:rsidR="00641C2C" w:rsidRDefault="00E43652" w:rsidP="006846E2">
      <w:pPr>
        <w:widowControl/>
        <w:autoSpaceDE/>
        <w:autoSpaceDN/>
        <w:adjustRightInd/>
        <w:spacing w:line="480" w:lineRule="auto"/>
        <w:ind w:left="720" w:hanging="720"/>
      </w:pPr>
      <w:r>
        <w:t xml:space="preserve">A:   </w:t>
      </w:r>
      <w:r w:rsidR="007B501A">
        <w:tab/>
      </w:r>
      <w:r w:rsidR="000A48BB">
        <w:t>In addition to information already required, every</w:t>
      </w:r>
      <w:r w:rsidR="00A93FF2">
        <w:t xml:space="preserve"> Supplier</w:t>
      </w:r>
      <w:r w:rsidR="000A48BB">
        <w:t xml:space="preserve"> should be required to furnish the customer with a report, no less frequently than once a year or 30 days before the renewal of the customer’s contract, whichever comes first, showing the average rate paid by the customer during the prior 12 months and also what the same consumption would have cost under the </w:t>
      </w:r>
      <w:r w:rsidR="00B70675">
        <w:t>standard</w:t>
      </w:r>
      <w:r w:rsidR="000A48BB">
        <w:t xml:space="preserve"> rate in effect during the same period.  The</w:t>
      </w:r>
      <w:r w:rsidR="00A93FF2">
        <w:t xml:space="preserve"> Supplier</w:t>
      </w:r>
      <w:r w:rsidR="000A48BB">
        <w:t xml:space="preserve"> would be permitted, on a discretionary basis, to show this comparison for additional time periods (to show, for example, that the</w:t>
      </w:r>
      <w:r w:rsidR="00A93FF2">
        <w:t xml:space="preserve"> Supplier</w:t>
      </w:r>
      <w:r w:rsidR="000A48BB">
        <w:t xml:space="preserve">’s rates during the most recent 12-month period compared more favorably in the past or over a longer interval). </w:t>
      </w:r>
      <w:r w:rsidR="00E907B0">
        <w:t xml:space="preserve">  A</w:t>
      </w:r>
      <w:r w:rsidR="00A93FF2">
        <w:t xml:space="preserve"> Supplier</w:t>
      </w:r>
      <w:r w:rsidR="00E907B0">
        <w:t xml:space="preserve"> should also be required to disclose to any prospective customer, p</w:t>
      </w:r>
      <w:r w:rsidR="00A375A5">
        <w:t>rior to obtaining that customer’s</w:t>
      </w:r>
      <w:r w:rsidR="00E907B0">
        <w:t xml:space="preserve"> consent to service, a comparison of the average price paid by the</w:t>
      </w:r>
      <w:r w:rsidR="00A93FF2">
        <w:t xml:space="preserve"> Supplier</w:t>
      </w:r>
      <w:r w:rsidR="00E907B0">
        <w:t>’s customers over the prior 12</w:t>
      </w:r>
      <w:r w:rsidR="00E907B0" w:rsidRPr="00E907B0">
        <w:rPr>
          <w:vertAlign w:val="superscript"/>
        </w:rPr>
        <w:t xml:space="preserve"> </w:t>
      </w:r>
      <w:r w:rsidR="00E907B0">
        <w:t xml:space="preserve">months and the average price during than same timeframe for service at the EDC’s </w:t>
      </w:r>
      <w:r w:rsidR="00A93FF2">
        <w:t>Standard Offer</w:t>
      </w:r>
      <w:r w:rsidR="00E907B0">
        <w:t xml:space="preserve">.  </w:t>
      </w:r>
    </w:p>
    <w:p w14:paraId="4FDD4EF8" w14:textId="77777777" w:rsidR="006846E2" w:rsidRPr="009654F0" w:rsidRDefault="006846E2" w:rsidP="006846E2">
      <w:pPr>
        <w:spacing w:line="480" w:lineRule="auto"/>
        <w:ind w:left="720" w:hanging="720"/>
        <w:rPr>
          <w:b/>
        </w:rPr>
      </w:pPr>
      <w:r>
        <w:rPr>
          <w:b/>
        </w:rPr>
        <w:t>Q:</w:t>
      </w:r>
      <w:r>
        <w:rPr>
          <w:b/>
        </w:rPr>
        <w:tab/>
      </w:r>
      <w:r w:rsidRPr="009654F0">
        <w:rPr>
          <w:b/>
        </w:rPr>
        <w:t>What remedy might promote a better awareness by consumers about how the rates they are paying compare to other rates available in the market?</w:t>
      </w:r>
    </w:p>
    <w:p w14:paraId="782B5BA7" w14:textId="77777777" w:rsidR="006846E2" w:rsidRDefault="006846E2" w:rsidP="006846E2">
      <w:pPr>
        <w:spacing w:line="480" w:lineRule="auto"/>
        <w:ind w:left="720" w:hanging="720"/>
      </w:pPr>
      <w:r>
        <w:t xml:space="preserve">A:   </w:t>
      </w:r>
      <w:r>
        <w:tab/>
        <w:t xml:space="preserve">Information that allows the customer to compare his or her current rate with the Standard Offer should appear as a component of the bill the customer receives each month.  This information should appear on the first page of the customer’s bill and should be in a prominent and easily understandable format.  If the customer uses automatic bill payment, this information should be disclosed with the electronic billing or payment notification, without the need for the customer to log in to his or her account in a separate transaction.   PURA has the authority to require EDCs to revise their billing formats to make this information accessible and transparent to consumers.  </w:t>
      </w:r>
    </w:p>
    <w:p w14:paraId="32681486" w14:textId="77777777" w:rsidR="006846E2" w:rsidRDefault="006846E2" w:rsidP="006846E2">
      <w:pPr>
        <w:spacing w:line="480" w:lineRule="auto"/>
        <w:ind w:left="720"/>
      </w:pPr>
    </w:p>
    <w:p w14:paraId="5DE82016" w14:textId="77777777" w:rsidR="006846E2" w:rsidRDefault="006846E2" w:rsidP="006846E2">
      <w:pPr>
        <w:spacing w:line="480" w:lineRule="auto"/>
        <w:ind w:left="720"/>
      </w:pPr>
      <w:r>
        <w:t>In addition, at least 20 days and no more than 45 days before any contract renewal, the</w:t>
      </w:r>
      <w:r w:rsidR="00A93FF2">
        <w:t xml:space="preserve"> Supplier</w:t>
      </w:r>
      <w:r>
        <w:t xml:space="preserve"> should be required to furnish the customer a report that summarizes the customer’s consumption and billing for electric generation service during the prior 12 months, compared with what the same consumption would have cost under the standard rate in effect during the same period.  The</w:t>
      </w:r>
      <w:r w:rsidR="00A93FF2">
        <w:t xml:space="preserve"> Supplier</w:t>
      </w:r>
      <w:r>
        <w:t xml:space="preserve"> would be permitted, on a discretionary basis, to show this comparison for additional time periods (if, for example, this information was deemed to present the</w:t>
      </w:r>
      <w:r w:rsidR="00A93FF2">
        <w:t xml:space="preserve"> Supplier</w:t>
      </w:r>
      <w:r>
        <w:t xml:space="preserve">’s rates in a more favorable light).   </w:t>
      </w:r>
    </w:p>
    <w:p w14:paraId="2D23C9CE" w14:textId="77777777" w:rsidR="006846E2" w:rsidRDefault="006846E2" w:rsidP="006846E2">
      <w:pPr>
        <w:spacing w:line="480" w:lineRule="auto"/>
        <w:ind w:left="720"/>
      </w:pPr>
      <w:r>
        <w:t>Finally, a</w:t>
      </w:r>
      <w:r w:rsidR="00A93FF2">
        <w:t xml:space="preserve"> Supplier</w:t>
      </w:r>
      <w:r>
        <w:t xml:space="preserve"> should be required to disclose to any prospective customer, prior to obtaining that customer’s consent to service, a comparison of the average price paid by the</w:t>
      </w:r>
      <w:r w:rsidR="00A93FF2">
        <w:t xml:space="preserve"> Supplier</w:t>
      </w:r>
      <w:r>
        <w:t>’s customers over the prior 12</w:t>
      </w:r>
      <w:r w:rsidRPr="00E907B0">
        <w:rPr>
          <w:vertAlign w:val="superscript"/>
        </w:rPr>
        <w:t xml:space="preserve"> </w:t>
      </w:r>
      <w:r>
        <w:t xml:space="preserve">months and the average price during than same timeframe for service at the EDC’s </w:t>
      </w:r>
      <w:r w:rsidR="00A93FF2">
        <w:t>Standard Offer</w:t>
      </w:r>
      <w:r>
        <w:t xml:space="preserve">.    </w:t>
      </w:r>
    </w:p>
    <w:p w14:paraId="5101A732" w14:textId="77777777" w:rsidR="00A008B8" w:rsidRPr="00312D6D" w:rsidRDefault="00312D6D" w:rsidP="0009426F">
      <w:pPr>
        <w:widowControl/>
        <w:autoSpaceDE/>
        <w:autoSpaceDN/>
        <w:adjustRightInd/>
        <w:spacing w:line="480" w:lineRule="auto"/>
        <w:ind w:left="720" w:hanging="720"/>
        <w:outlineLvl w:val="1"/>
        <w:rPr>
          <w:b/>
        </w:rPr>
      </w:pPr>
      <w:bookmarkStart w:id="42" w:name="_Toc382029131"/>
      <w:r>
        <w:rPr>
          <w:b/>
        </w:rPr>
        <w:t>Supplier-specific concerns</w:t>
      </w:r>
      <w:bookmarkEnd w:id="42"/>
    </w:p>
    <w:p w14:paraId="47780E51" w14:textId="77777777" w:rsidR="00580846" w:rsidRDefault="0085270D" w:rsidP="00580846">
      <w:pPr>
        <w:spacing w:line="480" w:lineRule="auto"/>
        <w:ind w:left="720" w:hanging="720"/>
        <w:rPr>
          <w:b/>
          <w:bCs/>
        </w:rPr>
      </w:pPr>
      <w:bookmarkStart w:id="43" w:name="_Toc156089511"/>
      <w:r>
        <w:rPr>
          <w:b/>
          <w:bCs/>
        </w:rPr>
        <w:t>Q:       </w:t>
      </w:r>
      <w:r w:rsidR="00E3767F">
        <w:rPr>
          <w:b/>
          <w:bCs/>
        </w:rPr>
        <w:t>Are there any</w:t>
      </w:r>
      <w:r w:rsidR="00A93FF2">
        <w:rPr>
          <w:b/>
          <w:bCs/>
        </w:rPr>
        <w:t xml:space="preserve"> Supplier</w:t>
      </w:r>
      <w:r w:rsidR="00E3767F">
        <w:rPr>
          <w:b/>
          <w:bCs/>
        </w:rPr>
        <w:t xml:space="preserve">s whose conduct, based on </w:t>
      </w:r>
      <w:r w:rsidR="00580846">
        <w:rPr>
          <w:b/>
          <w:bCs/>
        </w:rPr>
        <w:t>your review of the PURA complaints and responses to OCC interrogatories</w:t>
      </w:r>
      <w:r w:rsidR="00E3767F">
        <w:rPr>
          <w:b/>
          <w:bCs/>
        </w:rPr>
        <w:t xml:space="preserve">, warrant immediate </w:t>
      </w:r>
      <w:r w:rsidR="004B5092">
        <w:rPr>
          <w:b/>
          <w:bCs/>
        </w:rPr>
        <w:t>action</w:t>
      </w:r>
      <w:r w:rsidR="00E3767F">
        <w:rPr>
          <w:b/>
          <w:bCs/>
        </w:rPr>
        <w:t xml:space="preserve"> by PURA</w:t>
      </w:r>
      <w:r w:rsidR="00580846">
        <w:rPr>
          <w:b/>
          <w:bCs/>
        </w:rPr>
        <w:t>?</w:t>
      </w:r>
    </w:p>
    <w:p w14:paraId="63CA1B81" w14:textId="77777777" w:rsidR="000759C9" w:rsidRDefault="00580846" w:rsidP="00580846">
      <w:pPr>
        <w:spacing w:line="480" w:lineRule="auto"/>
        <w:ind w:left="720" w:hanging="720"/>
      </w:pPr>
      <w:r>
        <w:t>A:        Yes.  Clearly there are certain</w:t>
      </w:r>
      <w:r w:rsidR="00A93FF2">
        <w:t xml:space="preserve"> Supplier</w:t>
      </w:r>
      <w:r>
        <w:t xml:space="preserve">s that merit </w:t>
      </w:r>
      <w:r w:rsidR="004B5092">
        <w:t>further,</w:t>
      </w:r>
      <w:r>
        <w:t xml:space="preserve"> in-depth scrutiny by PURA</w:t>
      </w:r>
      <w:r w:rsidR="004B5092">
        <w:t xml:space="preserve">, based the type and number of customer complaints.  </w:t>
      </w:r>
      <w:r w:rsidR="009E4CC9">
        <w:t>Some of those</w:t>
      </w:r>
      <w:r w:rsidR="00A93FF2">
        <w:t xml:space="preserve"> Supplier</w:t>
      </w:r>
      <w:r w:rsidR="009E4CC9">
        <w:t>s are currently being reviewed by PURA, and others should be.</w:t>
      </w:r>
    </w:p>
    <w:p w14:paraId="5B8E1B26" w14:textId="77777777" w:rsidR="000A37B9" w:rsidRPr="00AE62AB" w:rsidRDefault="000A37B9" w:rsidP="0009426F">
      <w:pPr>
        <w:spacing w:line="480" w:lineRule="auto"/>
        <w:ind w:left="720" w:hanging="720"/>
        <w:jc w:val="both"/>
        <w:outlineLvl w:val="1"/>
        <w:rPr>
          <w:b/>
        </w:rPr>
      </w:pPr>
      <w:bookmarkStart w:id="44" w:name="_Toc373953004"/>
      <w:bookmarkStart w:id="45" w:name="_Toc382029132"/>
      <w:r w:rsidRPr="00AE62AB">
        <w:rPr>
          <w:b/>
        </w:rPr>
        <w:t>Conclusion</w:t>
      </w:r>
      <w:bookmarkEnd w:id="43"/>
      <w:bookmarkEnd w:id="44"/>
      <w:bookmarkEnd w:id="45"/>
      <w:r w:rsidRPr="00AE62AB">
        <w:rPr>
          <w:b/>
        </w:rPr>
        <w:t xml:space="preserve"> </w:t>
      </w:r>
    </w:p>
    <w:p w14:paraId="75B4613C" w14:textId="77777777" w:rsidR="000A37B9" w:rsidRPr="00323671" w:rsidRDefault="000A37B9" w:rsidP="000A37B9">
      <w:pPr>
        <w:spacing w:line="480" w:lineRule="auto"/>
        <w:ind w:left="720" w:hanging="720"/>
        <w:jc w:val="both"/>
        <w:rPr>
          <w:b/>
        </w:rPr>
      </w:pPr>
      <w:r w:rsidRPr="00323671">
        <w:rPr>
          <w:b/>
        </w:rPr>
        <w:t>Q:</w:t>
      </w:r>
      <w:r w:rsidRPr="00323671">
        <w:rPr>
          <w:b/>
        </w:rPr>
        <w:tab/>
        <w:t>Does this conclude your testimony?</w:t>
      </w:r>
    </w:p>
    <w:p w14:paraId="2403323C" w14:textId="77777777" w:rsidR="00A26CF2" w:rsidRDefault="000A37B9" w:rsidP="006846E2">
      <w:pPr>
        <w:pStyle w:val="BodyText2"/>
        <w:ind w:left="720" w:hanging="720"/>
        <w:jc w:val="both"/>
      </w:pPr>
      <w:r>
        <w:t>A:</w:t>
      </w:r>
      <w:r>
        <w:tab/>
        <w:t>Yes.</w:t>
      </w:r>
      <w:r w:rsidR="007745BF">
        <w:t xml:space="preserve"> </w:t>
      </w:r>
      <w:r w:rsidR="00703CE4">
        <w:t xml:space="preserve"> </w:t>
      </w:r>
      <w:r w:rsidR="00885645">
        <w:t>H</w:t>
      </w:r>
      <w:r w:rsidR="007745BF">
        <w:t xml:space="preserve">owever, we reserve the right to supplement our testimony as we continue to review evidence in this docket.  </w:t>
      </w:r>
      <w:r>
        <w:t xml:space="preserve"> </w:t>
      </w:r>
    </w:p>
    <w:sectPr w:rsidR="00A26CF2" w:rsidSect="00256C66">
      <w:footerReference w:type="default" r:id="rId21"/>
      <w:pgSz w:w="12240" w:h="15840" w:code="1"/>
      <w:pgMar w:top="1440" w:right="1440" w:bottom="1440" w:left="1440" w:header="1440" w:footer="1440"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2154D" w14:textId="77777777" w:rsidR="00355526" w:rsidRDefault="00355526">
      <w:r>
        <w:separator/>
      </w:r>
    </w:p>
  </w:endnote>
  <w:endnote w:type="continuationSeparator" w:id="0">
    <w:p w14:paraId="15F1459D" w14:textId="77777777" w:rsidR="00355526" w:rsidRDefault="0035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F18B" w14:textId="77777777" w:rsidR="00355526" w:rsidRDefault="00355526" w:rsidP="00076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B3411" w14:textId="77777777" w:rsidR="00355526" w:rsidRDefault="00355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08201" w14:textId="77777777" w:rsidR="00355526" w:rsidRDefault="00355526">
    <w:pPr>
      <w:tabs>
        <w:tab w:val="center" w:pos="4680"/>
      </w:tabs>
      <w:spacing w:line="240" w:lineRule="exac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E4BE" w14:textId="77777777" w:rsidR="00355526" w:rsidRDefault="00355526" w:rsidP="00FA507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73A6" w14:textId="77777777" w:rsidR="00355526" w:rsidRDefault="00355526" w:rsidP="00FE1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9F4">
      <w:rPr>
        <w:rStyle w:val="PageNumber"/>
        <w:noProof/>
      </w:rPr>
      <w:t>iv</w:t>
    </w:r>
    <w:r>
      <w:rPr>
        <w:rStyle w:val="PageNumber"/>
      </w:rPr>
      <w:fldChar w:fldCharType="end"/>
    </w:r>
  </w:p>
  <w:p w14:paraId="7839698A" w14:textId="77777777" w:rsidR="00355526" w:rsidRDefault="00355526">
    <w:pPr>
      <w:tabs>
        <w:tab w:val="center" w:pos="4680"/>
      </w:tabs>
      <w:spacing w:line="240" w:lineRule="exact"/>
      <w:rPr>
        <w:sz w:val="18"/>
      </w:rPr>
    </w:pPr>
  </w:p>
  <w:p w14:paraId="4D92C2DA" w14:textId="77777777" w:rsidR="00355526" w:rsidRDefault="00355526" w:rsidP="00F9113C">
    <w:pPr>
      <w:tabs>
        <w:tab w:val="center" w:pos="4680"/>
      </w:tabs>
      <w:spacing w:line="240" w:lineRule="exact"/>
      <w:jc w:val="cente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ACA5" w14:textId="77777777" w:rsidR="00355526" w:rsidRDefault="00355526" w:rsidP="00FE1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9F4">
      <w:rPr>
        <w:rStyle w:val="PageNumber"/>
        <w:noProof/>
      </w:rPr>
      <w:t>69</w:t>
    </w:r>
    <w:r>
      <w:rPr>
        <w:rStyle w:val="PageNumber"/>
      </w:rPr>
      <w:fldChar w:fldCharType="end"/>
    </w:r>
  </w:p>
  <w:p w14:paraId="70D21266" w14:textId="77777777" w:rsidR="00355526" w:rsidRDefault="00355526" w:rsidP="00D8609E">
    <w:pPr>
      <w:tabs>
        <w:tab w:val="center" w:pos="4680"/>
      </w:tabs>
      <w:spacing w:line="240" w:lineRule="exact"/>
      <w:rPr>
        <w:sz w:val="18"/>
      </w:rPr>
    </w:pPr>
  </w:p>
  <w:p w14:paraId="4618D8CD" w14:textId="77777777" w:rsidR="00355526" w:rsidRDefault="00355526" w:rsidP="00713568">
    <w:pPr>
      <w:tabs>
        <w:tab w:val="center" w:pos="4680"/>
      </w:tabs>
      <w:spacing w:line="240" w:lineRule="exact"/>
      <w:jc w:val="center"/>
      <w:rPr>
        <w:b/>
      </w:rPr>
    </w:pPr>
  </w:p>
  <w:p w14:paraId="42421327" w14:textId="60F2FD81" w:rsidR="00355526" w:rsidRPr="00713568" w:rsidRDefault="00355526" w:rsidP="00713568">
    <w:pPr>
      <w:tabs>
        <w:tab w:val="center" w:pos="4680"/>
      </w:tabs>
      <w:spacing w:line="240" w:lineRule="exact"/>
      <w:jc w:val="center"/>
    </w:pPr>
    <w:r>
      <w:rPr>
        <w:b/>
      </w:rPr>
      <w:t>CONFIDENTIAL</w:t>
    </w:r>
    <w:r w:rsidRPr="00713568">
      <w:rPr>
        <w:b/>
      </w:rPr>
      <w:t xml:space="preserve"> INFORMATION</w:t>
    </w:r>
    <w:r>
      <w:rPr>
        <w:b/>
      </w:rPr>
      <w:t xml:space="preserve"> HAS BEEN REDACTED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6A23F" w14:textId="77777777" w:rsidR="00355526" w:rsidRDefault="00355526">
      <w:r>
        <w:separator/>
      </w:r>
    </w:p>
  </w:footnote>
  <w:footnote w:type="continuationSeparator" w:id="0">
    <w:p w14:paraId="7B99E11E" w14:textId="77777777" w:rsidR="00355526" w:rsidRDefault="00355526">
      <w:r>
        <w:continuationSeparator/>
      </w:r>
    </w:p>
  </w:footnote>
  <w:footnote w:id="1">
    <w:p w14:paraId="7EA2E729" w14:textId="77777777" w:rsidR="00355526" w:rsidRPr="008F7420" w:rsidRDefault="00355526" w:rsidP="00531ED9">
      <w:pPr>
        <w:pStyle w:val="FootnoteText"/>
      </w:pPr>
      <w:r w:rsidRPr="008F7420">
        <w:rPr>
          <w:rStyle w:val="FootnoteReference"/>
        </w:rPr>
        <w:footnoteRef/>
      </w:r>
      <w:r>
        <w:t xml:space="preserve"> We drop </w:t>
      </w:r>
      <w:r w:rsidRPr="008F7420">
        <w:t xml:space="preserve">ten </w:t>
      </w:r>
      <w:r>
        <w:t>customers</w:t>
      </w:r>
      <w:r w:rsidRPr="008F7420">
        <w:t xml:space="preserve"> from both the high end and low end of the prices customers pay to eliminate any outliers.</w:t>
      </w:r>
    </w:p>
  </w:footnote>
  <w:footnote w:id="2">
    <w:p w14:paraId="4A8B0F6C" w14:textId="77777777" w:rsidR="00355526" w:rsidRDefault="00355526" w:rsidP="00445AD0">
      <w:pPr>
        <w:pStyle w:val="FootnoteText"/>
        <w:spacing w:after="120"/>
      </w:pPr>
      <w:r>
        <w:rPr>
          <w:rStyle w:val="FootnoteReference"/>
        </w:rPr>
        <w:footnoteRef/>
      </w:r>
      <w:r>
        <w:t xml:space="preserve"> Connecticut General Statutes (“Conn. Gen. Stat.”) §16-245.</w:t>
      </w:r>
    </w:p>
  </w:footnote>
  <w:footnote w:id="3">
    <w:p w14:paraId="53DB8211" w14:textId="77777777" w:rsidR="00355526" w:rsidRDefault="00355526" w:rsidP="00445AD0">
      <w:pPr>
        <w:pStyle w:val="FootnoteText"/>
        <w:spacing w:after="120"/>
      </w:pPr>
      <w:r>
        <w:rPr>
          <w:rStyle w:val="FootnoteReference"/>
        </w:rPr>
        <w:footnoteRef/>
      </w:r>
      <w:r w:rsidRPr="00893870">
        <w:t xml:space="preserve">  </w:t>
      </w:r>
      <w:r w:rsidRPr="00824E47">
        <w:rPr>
          <w:i/>
        </w:rPr>
        <w:t>See, e.g.</w:t>
      </w:r>
      <w:r>
        <w:t xml:space="preserve">, Public Act (“P.A.”) 03-135, P.A. 10-80, P.A. 11-80, P.A. 13-298.  </w:t>
      </w:r>
      <w:r w:rsidRPr="00893870">
        <w:t xml:space="preserve">The current proceeding responds, in part, to changes adopted in </w:t>
      </w:r>
      <w:r>
        <w:t>recent legislation. Request to Establish a New Docket on PURA’s Own Motion, July 12, 2013.</w:t>
      </w:r>
    </w:p>
  </w:footnote>
  <w:footnote w:id="4">
    <w:p w14:paraId="2719AC3B" w14:textId="77777777" w:rsidR="00355526" w:rsidRDefault="00355526" w:rsidP="00445AD0">
      <w:pPr>
        <w:pStyle w:val="FootnoteText"/>
        <w:spacing w:after="120"/>
      </w:pPr>
      <w:r>
        <w:rPr>
          <w:rStyle w:val="FootnoteReference"/>
        </w:rPr>
        <w:footnoteRef/>
      </w:r>
      <w:r>
        <w:t xml:space="preserve"> </w:t>
      </w:r>
      <w:r w:rsidRPr="00D7333C">
        <w:t xml:space="preserve">The Electric Energy Market Competition Task Force, </w:t>
      </w:r>
      <w:r>
        <w:t>“Report to Congress on Competition in Wholesale and Retail Markets for Electric Energy,” 2007.</w:t>
      </w:r>
    </w:p>
  </w:footnote>
  <w:footnote w:id="5">
    <w:p w14:paraId="1EF1160C" w14:textId="77777777" w:rsidR="00355526" w:rsidRDefault="00355526" w:rsidP="00445AD0">
      <w:pPr>
        <w:pStyle w:val="FootnoteText"/>
        <w:spacing w:after="120"/>
      </w:pPr>
      <w:r>
        <w:rPr>
          <w:rStyle w:val="FootnoteReference"/>
        </w:rPr>
        <w:footnoteRef/>
      </w:r>
      <w:r>
        <w:t xml:space="preserve"> Within Conn. Gen. Stat. § 16-245o, there are some provisions that apply specifically to sales involving customers with a maximum demand of one hundred kilowatts; these would typically be residential or small business customers.</w:t>
      </w:r>
    </w:p>
  </w:footnote>
  <w:footnote w:id="6">
    <w:p w14:paraId="21E79032" w14:textId="77777777" w:rsidR="00355526" w:rsidRDefault="00355526" w:rsidP="00445AD0">
      <w:pPr>
        <w:pStyle w:val="FootnoteText"/>
        <w:spacing w:after="120"/>
      </w:pPr>
      <w:r>
        <w:rPr>
          <w:rStyle w:val="FootnoteReference"/>
        </w:rPr>
        <w:footnoteRef/>
      </w:r>
      <w:r>
        <w:t xml:space="preserve"> Conn. Gen. Stat. § 16-245o(e) provides, in part: “E</w:t>
      </w:r>
      <w:r w:rsidRPr="008F2941">
        <w:t>ach electric</w:t>
      </w:r>
      <w:r>
        <w:t xml:space="preserve"> Supplier</w:t>
      </w:r>
      <w:r w:rsidRPr="008F2941">
        <w:t xml:space="preserve"> shall, prior to the initiation of electric generation services, provide the potential customer with a written notice describing the rates, information on air emissions and resource mix of generation facilities operated by and under long-term contract to the</w:t>
      </w:r>
      <w:r>
        <w:t xml:space="preserve"> Supplier</w:t>
      </w:r>
      <w:r w:rsidRPr="008F2941">
        <w:t>, terms and conditions of the service, and a notice describing the customer's right to cancel the service, as provided in this section.</w:t>
      </w:r>
      <w:r>
        <w:t>”</w:t>
      </w:r>
    </w:p>
  </w:footnote>
  <w:footnote w:id="7">
    <w:p w14:paraId="4B938CBB" w14:textId="77777777" w:rsidR="00355526" w:rsidRDefault="00355526" w:rsidP="00445AD0">
      <w:pPr>
        <w:pStyle w:val="FootnoteText"/>
        <w:spacing w:after="120"/>
      </w:pPr>
      <w:r>
        <w:rPr>
          <w:rStyle w:val="FootnoteReference"/>
        </w:rPr>
        <w:footnoteRef/>
      </w:r>
      <w:r>
        <w:t xml:space="preserve"> Section 16-245o(e) continues: “</w:t>
      </w:r>
      <w:r w:rsidRPr="008F2941">
        <w:t>No electric</w:t>
      </w:r>
      <w:r>
        <w:t xml:space="preserve"> Supplier</w:t>
      </w:r>
      <w:r w:rsidRPr="008F2941">
        <w:t xml:space="preserve"> shall provide electric generation services unless the customer has signed a service contract or consents to such services by one of the following: (1) An independent third-party telephone verification; (2) receipt of a written confirmation received in the mail from the customer after the customer has received an information package confirming any telephone agreement; (3) the customer signs a contract that conforms with the provisions of this section; or (4) the customer's consent is obtained through electronic means, including, but not limited to, a computer transaction. Each electric</w:t>
      </w:r>
      <w:r>
        <w:t xml:space="preserve"> Supplier</w:t>
      </w:r>
      <w:r w:rsidRPr="008F2941">
        <w:t xml:space="preserve"> shall provide each customer with a demand of less than one hundred kilowatts, a written contract that conforms with the provisions of this section and maintain records of such signed service contract or consent to service for a period of not less than two years from the date of expiration of such contract, which records shall be provided to the authority or the customer upon request.</w:t>
      </w:r>
      <w:r>
        <w:t>”</w:t>
      </w:r>
    </w:p>
  </w:footnote>
  <w:footnote w:id="8">
    <w:p w14:paraId="768AAF1B" w14:textId="77777777" w:rsidR="00355526" w:rsidRDefault="00355526" w:rsidP="00445AD0">
      <w:pPr>
        <w:pStyle w:val="FootnoteText"/>
        <w:spacing w:after="120"/>
      </w:pPr>
      <w:r>
        <w:rPr>
          <w:rStyle w:val="FootnoteReference"/>
        </w:rPr>
        <w:footnoteRef/>
      </w:r>
      <w:r>
        <w:t xml:space="preserve"> Section 16-245o(e) further provides: “Each electric Supplier shall provide each customer with a demand of less than one hundred kilowatts, a written contract that conforms with the provisions of this section and maintain records of such signed service contract or consent to service for a period of not less than two years from the date of expiration of such contract, which records shall be provided to the authority or the customer upon request.  Each contract for electric generation services shall contain all material terms of the agreement, a clear and conspicuous statement explaining the rates that such customer will be paying, including the circumstances under which the rates may change, a statement that provides specific directions to the customer as to how to compare the price term in the contract to the customer's existing electric generation service charge on the electric bill and how long those rates are guaranteed. Such contract shall also include a clear and conspicuous statement providing the customer's right to cancel such contract not later than three days after signature or receipt in accordance with the provisions of this subsection, describing under what circumstances, if any, the Supplier may terminate the contract and describing any penalty for early termination of such contract.”</w:t>
      </w:r>
    </w:p>
  </w:footnote>
  <w:footnote w:id="9">
    <w:p w14:paraId="416CA275" w14:textId="77777777" w:rsidR="00355526" w:rsidRDefault="00355526" w:rsidP="00445AD0">
      <w:pPr>
        <w:pStyle w:val="FootnoteText"/>
        <w:spacing w:after="120"/>
      </w:pPr>
      <w:r>
        <w:rPr>
          <w:rStyle w:val="FootnoteReference"/>
        </w:rPr>
        <w:footnoteRef/>
      </w:r>
      <w:r>
        <w:t xml:space="preserve"> Conn. Gen. Stat. § 16-245o(g).</w:t>
      </w:r>
    </w:p>
  </w:footnote>
  <w:footnote w:id="10">
    <w:p w14:paraId="7FA141E2" w14:textId="77777777" w:rsidR="00355526" w:rsidRDefault="00355526" w:rsidP="00445AD0">
      <w:pPr>
        <w:pStyle w:val="FootnoteText"/>
        <w:spacing w:after="120"/>
      </w:pPr>
      <w:r>
        <w:rPr>
          <w:rStyle w:val="FootnoteReference"/>
        </w:rPr>
        <w:footnoteRef/>
      </w:r>
      <w:r>
        <w:t xml:space="preserve"> </w:t>
      </w:r>
      <w:r w:rsidRPr="00DE5814">
        <w:rPr>
          <w:i/>
        </w:rPr>
        <w:t>Id.</w:t>
      </w:r>
    </w:p>
  </w:footnote>
  <w:footnote w:id="11">
    <w:p w14:paraId="68698411" w14:textId="77777777" w:rsidR="00355526" w:rsidRDefault="00355526" w:rsidP="00445AD0">
      <w:pPr>
        <w:pStyle w:val="FootnoteText"/>
        <w:spacing w:after="120"/>
      </w:pPr>
      <w:r>
        <w:rPr>
          <w:rStyle w:val="FootnoteReference"/>
        </w:rPr>
        <w:footnoteRef/>
      </w:r>
      <w:r>
        <w:t xml:space="preserve"> Conn. Gen. Stat. § 16-245o(g)</w:t>
      </w:r>
      <w:r w:rsidRPr="00254C06">
        <w:t>(7)</w:t>
      </w:r>
      <w:r>
        <w:t>:</w:t>
      </w:r>
      <w:r w:rsidRPr="00254C06">
        <w:t xml:space="preserve"> </w:t>
      </w:r>
      <w:r>
        <w:t>“</w:t>
      </w:r>
      <w:r w:rsidRPr="00254C06">
        <w:t>No contract for electric generation services by an electric</w:t>
      </w:r>
      <w:r>
        <w:t xml:space="preserve"> Supplier</w:t>
      </w:r>
      <w:r w:rsidRPr="00254C06">
        <w:t xml:space="preserve"> shall require a residential customer to pay any fee for termination or early cancellation of a contract in excess of (A) one hundred dollars; or (B) twice the estimated bill for energy services for an average month, whichever is less, provided when an electric</w:t>
      </w:r>
      <w:r>
        <w:t xml:space="preserve"> Supplier</w:t>
      </w:r>
      <w:r w:rsidRPr="00254C06">
        <w:t xml:space="preserve"> offers a contract, it provides the residential customer an estimate of such customer's average monthly bill.</w:t>
      </w:r>
      <w:r>
        <w:t>”</w:t>
      </w:r>
    </w:p>
  </w:footnote>
  <w:footnote w:id="12">
    <w:p w14:paraId="32FC81E1" w14:textId="77777777" w:rsidR="00355526" w:rsidRDefault="00355526" w:rsidP="00445AD0">
      <w:pPr>
        <w:pStyle w:val="FootnoteText"/>
        <w:spacing w:after="120"/>
      </w:pPr>
      <w:r>
        <w:rPr>
          <w:rStyle w:val="FootnoteReference"/>
        </w:rPr>
        <w:footnoteRef/>
      </w:r>
      <w:r>
        <w:t xml:space="preserve"> Conn. Gen. Stat. § 16-245o</w:t>
      </w:r>
      <w:r w:rsidRPr="00254C06">
        <w:t>(f)</w:t>
      </w:r>
      <w:r>
        <w:t>:</w:t>
      </w:r>
      <w:r w:rsidRPr="00254C06">
        <w:t xml:space="preserve"> </w:t>
      </w:r>
      <w:r>
        <w:t>“</w:t>
      </w:r>
      <w:r w:rsidRPr="00254C06">
        <w:t>Between thirty and sixty days, inclusive, prior to the expiration of a fixed price term for a residential customer, an electric</w:t>
      </w:r>
      <w:r>
        <w:t xml:space="preserve"> Supplier</w:t>
      </w:r>
      <w:r w:rsidRPr="00254C06">
        <w:t xml:space="preserve"> shall provide a written notice to such customer of any change to the customer's electric generation price.</w:t>
      </w:r>
      <w:r>
        <w:t>”</w:t>
      </w:r>
    </w:p>
  </w:footnote>
  <w:footnote w:id="13">
    <w:p w14:paraId="1C0F5853" w14:textId="77777777" w:rsidR="00355526" w:rsidRDefault="00355526">
      <w:pPr>
        <w:pStyle w:val="FootnoteText"/>
      </w:pPr>
      <w:r>
        <w:rPr>
          <w:rStyle w:val="FootnoteReference"/>
        </w:rPr>
        <w:footnoteRef/>
      </w:r>
      <w:r>
        <w:t xml:space="preserve"> </w:t>
      </w:r>
      <w:r>
        <w:rPr>
          <w:i/>
        </w:rPr>
        <w:t xml:space="preserve">E.g., </w:t>
      </w:r>
      <w:r>
        <w:t xml:space="preserve">PURA </w:t>
      </w:r>
      <w:r w:rsidRPr="00C4025C">
        <w:t>Docket No. 13-08</w:t>
      </w:r>
      <w:r>
        <w:t>-</w:t>
      </w:r>
      <w:r w:rsidRPr="00C4025C">
        <w:t xml:space="preserve">19, </w:t>
      </w:r>
      <w:r w:rsidRPr="00824E47">
        <w:rPr>
          <w:i/>
        </w:rPr>
        <w:t>Petition of Consumer Counsel Elin Swanson Katz for an Investigation into Direct Energy Services LLC’s Municipal Marketing Program</w:t>
      </w:r>
      <w:r w:rsidRPr="00C4025C">
        <w:t xml:space="preserve">; </w:t>
      </w:r>
      <w:r>
        <w:t xml:space="preserve">PURA </w:t>
      </w:r>
      <w:r w:rsidRPr="00C4025C">
        <w:t xml:space="preserve">Docket No. 13-07-17, </w:t>
      </w:r>
      <w:r w:rsidRPr="00824E47">
        <w:rPr>
          <w:i/>
        </w:rPr>
        <w:t>PURA Investigation Into Direct Energy Services, LLC’s Trade Practices</w:t>
      </w:r>
      <w:r w:rsidRPr="00C4025C">
        <w:t xml:space="preserve">; </w:t>
      </w:r>
      <w:r>
        <w:t xml:space="preserve">PURA </w:t>
      </w:r>
      <w:r w:rsidRPr="00C4025C">
        <w:t xml:space="preserve">Docket No. 13-07-16, </w:t>
      </w:r>
      <w:r w:rsidRPr="00824E47">
        <w:rPr>
          <w:i/>
        </w:rPr>
        <w:t>PURA Investigation Into Starion Energy, Inc.'s Trade Practices</w:t>
      </w:r>
      <w:r w:rsidRPr="00C4025C">
        <w:t xml:space="preserve">; </w:t>
      </w:r>
      <w:r>
        <w:t xml:space="preserve">PURA </w:t>
      </w:r>
      <w:r w:rsidRPr="00C4025C">
        <w:t xml:space="preserve">Docket No. 13-07-15, </w:t>
      </w:r>
      <w:r w:rsidRPr="00824E47">
        <w:rPr>
          <w:i/>
        </w:rPr>
        <w:t>PURA Investigation Into Connecticut Gas &amp; Electric, In.’s Trade Practices</w:t>
      </w:r>
      <w:r w:rsidRPr="00C4025C">
        <w:t xml:space="preserve">; </w:t>
      </w:r>
      <w:r>
        <w:t xml:space="preserve">PURA </w:t>
      </w:r>
      <w:r w:rsidRPr="00C4025C">
        <w:t xml:space="preserve">Docket No. 13-02-08, </w:t>
      </w:r>
      <w:r w:rsidRPr="00824E47">
        <w:rPr>
          <w:i/>
        </w:rPr>
        <w:t>PURA Investigation Into Public Power LLC’s Trade Practices</w:t>
      </w:r>
      <w:r w:rsidRPr="00C4025C">
        <w:t xml:space="preserve">; </w:t>
      </w:r>
      <w:r>
        <w:t xml:space="preserve">PURA </w:t>
      </w:r>
      <w:r w:rsidRPr="00C4025C">
        <w:t xml:space="preserve">Docket No. 13-02-06, </w:t>
      </w:r>
      <w:r w:rsidRPr="00824E47">
        <w:rPr>
          <w:i/>
        </w:rPr>
        <w:t>PURA Investigation Into North American Power &amp; Gas’ Trade Practices</w:t>
      </w:r>
      <w:r>
        <w:t>.</w:t>
      </w:r>
    </w:p>
  </w:footnote>
  <w:footnote w:id="14">
    <w:p w14:paraId="13BC3BDA" w14:textId="77777777" w:rsidR="00355526" w:rsidRDefault="00355526" w:rsidP="00445AD0">
      <w:pPr>
        <w:pStyle w:val="FootnoteText"/>
        <w:spacing w:after="120"/>
      </w:pPr>
      <w:r>
        <w:rPr>
          <w:rStyle w:val="FootnoteReference"/>
        </w:rPr>
        <w:footnoteRef/>
      </w:r>
      <w:r>
        <w:t xml:space="preserve"> The PURA forms we were provided  included some business customers, which were excluded from this  analysis.</w:t>
      </w:r>
    </w:p>
  </w:footnote>
  <w:footnote w:id="15">
    <w:p w14:paraId="3750C98D" w14:textId="77777777" w:rsidR="00355526" w:rsidRPr="00035FFE" w:rsidRDefault="00355526" w:rsidP="00035FFE">
      <w:pPr>
        <w:rPr>
          <w:sz w:val="20"/>
          <w:szCs w:val="20"/>
        </w:rPr>
      </w:pPr>
      <w:r w:rsidRPr="00035FFE">
        <w:rPr>
          <w:rStyle w:val="FootnoteReference"/>
          <w:sz w:val="20"/>
          <w:szCs w:val="20"/>
        </w:rPr>
        <w:footnoteRef/>
      </w:r>
      <w:r w:rsidRPr="00035FFE">
        <w:rPr>
          <w:sz w:val="20"/>
          <w:szCs w:val="20"/>
        </w:rPr>
        <w:t xml:space="preserve"> The following is a list of Suppliers who filed interrogatory responses, by legal name and (if different) as they will generally be referred to in this document: Ambit Northeast, LLC (“Ambit Northeast, LLC” or “Ambit”); Blue Pilot Energy; Clearview Electric, Inc., d/b/a Clearview Energy (“Clearview”); Choice Energy, LLC (d/b/a 4ChoiceEnergy) (“Choice”); Connecticut Gas &amp; Electric, Inc. (“CT Gas &amp; Electric”); Consolidated Edison Solutions, Inc. (“Con Edison Solutions”); Constellation New Energy, Inc. and Constellation Energy Power Choice, Inc. (together, “Constellation”); Direct Energy Business, LLC (“Direct Energy Business”); Direct Energy Services, LLC (“Direct Energy”); Discount Power, Inc.; Dominion Retail, Inc. (“Dominion”); Energy Plus Holdings LLC (“Energy Plus”); Green Mountain Energy Company; Gulf Oil Limited Partnership; Hess Corporation and Hess Energy Marketing, LLC; HIKO Energy, LLC; HOP Energy, LLC; Independence Energy Group LLC (“Independence Energy Group”); Integrys Energy Services, Inc.; Interstate Gas Supply, Inc.; Liberty Power Delaware, LLC (“Liberty Delaware”); Liberty Power Holdings, LLC (“Liberty Power”); Mint Energy, LLC; NextEra Energy Services Connecticut, LLC (“Next ERA”); Noble Americas Energy Solutions LLC; North American Power and Gas, LLC (“North American Power and Gas”); Palmco Power CT, LLC (“Palmco Power”); People’s Power &amp; Gas, LLC; Plymouth Rock Energy, LLC; Public Power, LLC (“Public Power” or “Public Power and Utility” [based on name used on PURA intake form]); Reliant Energy Northeast, LLC; Spark Energy, LLC (“Spark”);</w:t>
      </w:r>
      <w:r>
        <w:rPr>
          <w:sz w:val="20"/>
          <w:szCs w:val="20"/>
        </w:rPr>
        <w:t xml:space="preserve"> </w:t>
      </w:r>
      <w:r w:rsidRPr="00035FFE">
        <w:rPr>
          <w:sz w:val="20"/>
          <w:szCs w:val="20"/>
        </w:rPr>
        <w:t>Starion Energy, Inc. (“Starion”); GDF Suez Energy Resources NA, Inc.; Texas Retail Energy, LLC (“TRE”);</w:t>
      </w:r>
      <w:r>
        <w:rPr>
          <w:sz w:val="20"/>
          <w:szCs w:val="20"/>
        </w:rPr>
        <w:t xml:space="preserve"> </w:t>
      </w:r>
      <w:r w:rsidRPr="00035FFE">
        <w:rPr>
          <w:sz w:val="20"/>
          <w:szCs w:val="20"/>
        </w:rPr>
        <w:t>Town Square Energy, LLC; TransCanada Power Marketing Ltd. (“TransCanada”); Verde Energy USA, Inc. (“Verde”); Viridian Energy, LLC (“Viridian”); XOOM Energy Connecticut, LLC (“XOOM”).  There may be some minor discrepancies in how these companies are referenced in the tables, based on the different ways that these companies were referred to by customers, on PURA intake forms, and by EDCs.</w:t>
      </w:r>
    </w:p>
  </w:footnote>
  <w:footnote w:id="16">
    <w:p w14:paraId="3150F845" w14:textId="77777777" w:rsidR="00355526" w:rsidRDefault="00355526" w:rsidP="00445AD0">
      <w:pPr>
        <w:pStyle w:val="FootnoteText"/>
        <w:spacing w:after="120"/>
      </w:pPr>
      <w:r>
        <w:rPr>
          <w:rStyle w:val="FootnoteReference"/>
        </w:rPr>
        <w:footnoteRef/>
      </w:r>
      <w:r>
        <w:t xml:space="preserve"> </w:t>
      </w:r>
      <w:r w:rsidRPr="00A27C7F">
        <w:t>CL&amp;P responses to Q-OCC-006</w:t>
      </w:r>
      <w:r>
        <w:t xml:space="preserve"> &amp; Q-OCC-007.  Data as of January</w:t>
      </w:r>
      <w:r w:rsidRPr="00A27C7F">
        <w:t xml:space="preserve"> 7, 2014.</w:t>
      </w:r>
    </w:p>
  </w:footnote>
  <w:footnote w:id="17">
    <w:p w14:paraId="0A5144F0" w14:textId="77777777" w:rsidR="00355526" w:rsidRDefault="00355526" w:rsidP="00445AD0">
      <w:pPr>
        <w:pStyle w:val="FootnoteText"/>
        <w:spacing w:after="120"/>
      </w:pPr>
      <w:r>
        <w:rPr>
          <w:rStyle w:val="FootnoteReference"/>
        </w:rPr>
        <w:footnoteRef/>
      </w:r>
      <w:r>
        <w:t xml:space="preserve"> </w:t>
      </w:r>
      <w:r w:rsidRPr="00A27C7F">
        <w:t xml:space="preserve">UI responses to OCC-16 </w:t>
      </w:r>
      <w:r>
        <w:t>&amp;</w:t>
      </w:r>
      <w:r w:rsidRPr="00A27C7F">
        <w:t xml:space="preserve"> OCC-17.  Data for time period December 2013 - January 2014 (specifically, billing </w:t>
      </w:r>
      <w:r>
        <w:t>c</w:t>
      </w:r>
      <w:r w:rsidRPr="00A27C7F">
        <w:t>ycle 8 for December 2013 through billing cycle 7 of January 2014).</w:t>
      </w:r>
    </w:p>
  </w:footnote>
  <w:footnote w:id="18">
    <w:p w14:paraId="6ACE64CE" w14:textId="77777777" w:rsidR="00355526" w:rsidRDefault="00355526" w:rsidP="00445AD0">
      <w:pPr>
        <w:pStyle w:val="FootnoteText"/>
        <w:spacing w:after="120"/>
      </w:pPr>
      <w:r>
        <w:rPr>
          <w:rStyle w:val="FootnoteReference"/>
        </w:rPr>
        <w:footnoteRef/>
      </w:r>
      <w:r>
        <w:t xml:space="preserve"> </w:t>
      </w:r>
      <w:r w:rsidRPr="00A27C7F">
        <w:t xml:space="preserve">UI responses to OCC-16 </w:t>
      </w:r>
      <w:r>
        <w:t>&amp;</w:t>
      </w:r>
      <w:r w:rsidRPr="00A27C7F">
        <w:t xml:space="preserve"> OCC-17.  Data for time period December 2013 - January 2014 (specifically, billing </w:t>
      </w:r>
      <w:r>
        <w:t>c</w:t>
      </w:r>
      <w:r w:rsidRPr="00A27C7F">
        <w:t>ycle 8 for December 2013 through billing cycle 7 of January 2014).</w:t>
      </w:r>
    </w:p>
  </w:footnote>
  <w:footnote w:id="19">
    <w:p w14:paraId="0AFE26D4" w14:textId="77777777" w:rsidR="00355526" w:rsidRDefault="00355526" w:rsidP="00445AD0">
      <w:pPr>
        <w:pStyle w:val="FootnoteText"/>
        <w:spacing w:after="120"/>
      </w:pPr>
      <w:r>
        <w:rPr>
          <w:rStyle w:val="FootnoteReference"/>
        </w:rPr>
        <w:footnoteRef/>
      </w:r>
      <w:r>
        <w:t xml:space="preserve"> </w:t>
      </w:r>
      <w:r w:rsidRPr="0004503C">
        <w:t xml:space="preserve">This number does not count households served and billed by a municipal electric utility. </w:t>
      </w:r>
      <w:r>
        <w:t xml:space="preserve"> There were approximately 1,360,000 households in Connecticut between 2008 and 2012, and in 2012, there were 1,487,910 housing units in Connecticut.  &lt;</w:t>
      </w:r>
      <w:r w:rsidRPr="00D557B6">
        <w:t>http://quickfacts.census.gov/qfd/states/09000.html</w:t>
      </w:r>
      <w:r>
        <w:t>&gt;</w:t>
      </w:r>
    </w:p>
  </w:footnote>
  <w:footnote w:id="20">
    <w:p w14:paraId="53244D62" w14:textId="77777777" w:rsidR="00355526" w:rsidRDefault="00355526" w:rsidP="00445AD0">
      <w:pPr>
        <w:pStyle w:val="FootnoteText"/>
        <w:spacing w:after="120"/>
      </w:pPr>
      <w:r>
        <w:rPr>
          <w:rStyle w:val="FootnoteReference"/>
        </w:rPr>
        <w:footnoteRef/>
      </w:r>
      <w:r>
        <w:t xml:space="preserve"> If one considers the two Constellation affiliates separately, the quantity would be 34.</w:t>
      </w:r>
    </w:p>
  </w:footnote>
  <w:footnote w:id="21">
    <w:p w14:paraId="32B9958C" w14:textId="77777777" w:rsidR="00355526" w:rsidRDefault="00355526" w:rsidP="00445AD0">
      <w:pPr>
        <w:pStyle w:val="FootnoteText"/>
        <w:spacing w:after="120"/>
      </w:pPr>
      <w:r>
        <w:rPr>
          <w:rStyle w:val="FootnoteReference"/>
        </w:rPr>
        <w:footnoteRef/>
      </w:r>
      <w:r>
        <w:t xml:space="preserve"> Connecticut has 169 towns, 21 cities, and 9 boroughs.  &lt;</w:t>
      </w:r>
      <w:hyperlink r:id="rId1" w:history="1">
        <w:r w:rsidRPr="000B5F04">
          <w:rPr>
            <w:rStyle w:val="Hyperlink"/>
          </w:rPr>
          <w:t>http://www.ct.gov/ctportal/cwp/view.asp?a=843&amp;q=246434</w:t>
        </w:r>
      </w:hyperlink>
      <w:r>
        <w:rPr>
          <w:rStyle w:val="Hyperlink"/>
        </w:rPr>
        <w:t xml:space="preserve">&gt; (last checked Mar. 5, 2014).  </w:t>
      </w:r>
      <w:r>
        <w:t>The “municipalities” count referenced here is the sum of the cities and towns.  On the Intake Forms, PURA Staff occasionally recorded the names of census designated areas, hamlets, neighborhoods, or villages rather than of the towns (</w:t>
      </w:r>
      <w:r w:rsidRPr="00D51747">
        <w:rPr>
          <w:i/>
        </w:rPr>
        <w:t>e.g.</w:t>
      </w:r>
      <w:r>
        <w:t>,Cos Cob, Dayville, and Uncasville).  We classified these complaints by the municipality associated with these smaller areas.</w:t>
      </w:r>
    </w:p>
  </w:footnote>
  <w:footnote w:id="22">
    <w:p w14:paraId="14AAF9BF" w14:textId="77777777" w:rsidR="00355526" w:rsidRDefault="00355526" w:rsidP="00445AD0">
      <w:pPr>
        <w:pStyle w:val="FootnoteText"/>
        <w:spacing w:after="120"/>
      </w:pPr>
      <w:r>
        <w:rPr>
          <w:rStyle w:val="FootnoteReference"/>
        </w:rPr>
        <w:footnoteRef/>
      </w:r>
      <w:r>
        <w:t xml:space="preserve"> </w:t>
      </w:r>
      <w:r w:rsidRPr="00DA2B6C">
        <w:t xml:space="preserve">Unless otherwise specified in tables and exhibits in </w:t>
      </w:r>
      <w:r>
        <w:t>this testimony, we</w:t>
      </w:r>
      <w:r w:rsidRPr="00DA2B6C">
        <w:t xml:space="preserve"> have combined the 4 customer complaints associated with Constellation New Energy with the 23 complaints associated with Constellation MX, and refer simply to “Constellation.”  Based on the company information that is included in the PURA </w:t>
      </w:r>
      <w:r>
        <w:t>I</w:t>
      </w:r>
      <w:r w:rsidRPr="00DA2B6C">
        <w:t xml:space="preserve">ntake </w:t>
      </w:r>
      <w:r>
        <w:t>F</w:t>
      </w:r>
      <w:r w:rsidRPr="00DA2B6C">
        <w:t>orms</w:t>
      </w:r>
      <w:r>
        <w:t xml:space="preserve"> and the interrogatory responses</w:t>
      </w:r>
      <w:r w:rsidRPr="00DA2B6C">
        <w:t>, it is</w:t>
      </w:r>
      <w:r>
        <w:t xml:space="preserve"> our</w:t>
      </w:r>
      <w:r w:rsidRPr="00DA2B6C">
        <w:t xml:space="preserve"> belief that the two</w:t>
      </w:r>
      <w:r>
        <w:t xml:space="preserve"> Supplier</w:t>
      </w:r>
      <w:r w:rsidRPr="00DA2B6C">
        <w:t>s are affiliates, owned by the same parent company.</w:t>
      </w:r>
      <w:r>
        <w:t xml:space="preserve">  Also, in seven instances, a single customer called PURA on two separate occasions.  The universe of residential PURA complaint forms therefore corresponds with 811 households making 818 separate complaints.</w:t>
      </w:r>
    </w:p>
  </w:footnote>
  <w:footnote w:id="23">
    <w:p w14:paraId="7E3BDEB6" w14:textId="77777777" w:rsidR="00355526" w:rsidRDefault="00355526">
      <w:pPr>
        <w:pStyle w:val="FootnoteText"/>
      </w:pPr>
      <w:r>
        <w:rPr>
          <w:rStyle w:val="FootnoteReference"/>
        </w:rPr>
        <w:footnoteRef/>
      </w:r>
      <w:r>
        <w:t xml:space="preserve"> Customer counts based on CL&amp;P response to OCC-01, confidential attachment and UI response to OCC-013, confidential Attachment 2.  The customer counts themselves are not considered confidential, since they are required to be submitted in PURA Docket No. 06-10-22 as compliance filings.  There are 11 Suppliers with no complaints: Abest, Amerada Hess, Direct Energy Business, GDF Suez Energy, Glacial Energy, Gulf Oil, Integrys, Noble, People’s Power, Reliant, and TransCanada.  There are 13 complaints not matched to Suppliers or matched to Suppliers that do not bill through CL&amp;P and UI, including: Community, Energy Choice, Energy New England, Patriot, So. Connecticut Gas, and United Energy Partners.  Eight Suppliers with fewer than 500 customers had no complaints during the time period and are combined in the table, including: Integrys, Glacial, Direct Energy Business, Amerada Hess, GDF Suez, Noble, Reliant, and TransCanada.</w:t>
      </w:r>
    </w:p>
  </w:footnote>
  <w:footnote w:id="24">
    <w:p w14:paraId="59DBF383" w14:textId="77777777" w:rsidR="00355526" w:rsidRDefault="00355526">
      <w:pPr>
        <w:pStyle w:val="FootnoteText"/>
      </w:pPr>
      <w:r>
        <w:rPr>
          <w:rStyle w:val="FootnoteReference"/>
        </w:rPr>
        <w:footnoteRef/>
      </w:r>
      <w:r>
        <w:t xml:space="preserve"> When specific age references were given, they exceeded 70 and often were above 80.</w:t>
      </w:r>
    </w:p>
  </w:footnote>
  <w:footnote w:id="25">
    <w:p w14:paraId="6619CB1E" w14:textId="77777777" w:rsidR="00355526" w:rsidRDefault="00355526">
      <w:pPr>
        <w:pStyle w:val="FootnoteText"/>
      </w:pPr>
      <w:r>
        <w:rPr>
          <w:rStyle w:val="FootnoteReference"/>
        </w:rPr>
        <w:footnoteRef/>
      </w:r>
      <w:r>
        <w:t xml:space="preserve"> Conn. Gen. Stat. §</w:t>
      </w:r>
      <w:r w:rsidRPr="0091571E">
        <w:t xml:space="preserve"> 16-245o(g)(7)</w:t>
      </w:r>
      <w:r>
        <w:t xml:space="preserve"> states</w:t>
      </w:r>
      <w:r w:rsidRPr="0091571E">
        <w:t>: “No contract for electric generation services by an electric</w:t>
      </w:r>
      <w:r>
        <w:t xml:space="preserve"> Supplier</w:t>
      </w:r>
      <w:r w:rsidRPr="0091571E">
        <w:t xml:space="preserve"> shall require a residential customer to pay any fee for termination or early cancellation of a contract in excess of (A) one hundred dollars; or (B) twice the estimated bill for energy services for an average month, whichever is less, provided when an electric</w:t>
      </w:r>
      <w:r>
        <w:t xml:space="preserve"> Supplier</w:t>
      </w:r>
      <w:r w:rsidRPr="0091571E">
        <w:t xml:space="preserve"> offers a contract, it provides the residential customer an estimate of such customer's average monthly bill.”</w:t>
      </w:r>
    </w:p>
  </w:footnote>
  <w:footnote w:id="26">
    <w:p w14:paraId="069238A3" w14:textId="77777777" w:rsidR="00355526" w:rsidRDefault="00355526">
      <w:pPr>
        <w:pStyle w:val="FootnoteText"/>
      </w:pPr>
      <w:r>
        <w:rPr>
          <w:rStyle w:val="FootnoteReference"/>
        </w:rPr>
        <w:footnoteRef/>
      </w:r>
      <w:r>
        <w:t xml:space="preserve"> We were provided 20 files, in a PDF format, and each file is numbered “1” through “20.”  Throughout our testimony we cite to individual complaints by referring to the file number and to the location of the individual complaint with the “PDF” file. For example, “PDF 14-26” refers to the 26th residential consumer complaint that can be found in the 14</w:t>
      </w:r>
      <w:r w:rsidRPr="001139B9">
        <w:rPr>
          <w:vertAlign w:val="superscript"/>
        </w:rPr>
        <w:t>th</w:t>
      </w:r>
      <w:r>
        <w:t xml:space="preserve"> PDF file.</w:t>
      </w:r>
    </w:p>
  </w:footnote>
  <w:footnote w:id="27">
    <w:p w14:paraId="3293668F" w14:textId="77777777" w:rsidR="00355526" w:rsidRDefault="00355526" w:rsidP="00351640">
      <w:pPr>
        <w:spacing w:line="480" w:lineRule="auto"/>
        <w:ind w:left="720" w:hanging="720"/>
      </w:pPr>
      <w:r>
        <w:rPr>
          <w:rStyle w:val="FootnoteReference"/>
        </w:rPr>
        <w:footnoteRef/>
      </w:r>
      <w:r>
        <w:t xml:space="preserve"> </w:t>
      </w:r>
      <w:r w:rsidRPr="00402810">
        <w:t>PDF 7-4.</w:t>
      </w:r>
    </w:p>
  </w:footnote>
  <w:footnote w:id="28">
    <w:p w14:paraId="5BD24F45" w14:textId="77777777" w:rsidR="00355526" w:rsidRDefault="00355526" w:rsidP="00FA285A">
      <w:pPr>
        <w:pStyle w:val="FootnoteText"/>
        <w:spacing w:after="120"/>
      </w:pPr>
      <w:r>
        <w:rPr>
          <w:rStyle w:val="FootnoteReference"/>
        </w:rPr>
        <w:footnoteRef/>
      </w:r>
      <w:r>
        <w:t xml:space="preserve"> </w:t>
      </w:r>
      <w:r w:rsidRPr="009E4F4A">
        <w:rPr>
          <w:i/>
        </w:rPr>
        <w:t>See, e.g.,</w:t>
      </w:r>
      <w:r>
        <w:t xml:space="preserve"> PDF 2-39.  The customer n</w:t>
      </w:r>
      <w:r w:rsidRPr="00B4695C">
        <w:t xml:space="preserve">oticed that </w:t>
      </w:r>
      <w:r>
        <w:t xml:space="preserve">the </w:t>
      </w:r>
      <w:r w:rsidRPr="00B4695C">
        <w:t>electric bill was extremely high and immediately switched to a different</w:t>
      </w:r>
      <w:r>
        <w:t xml:space="preserve"> Supplier</w:t>
      </w:r>
      <w:r w:rsidRPr="00B4695C">
        <w:t xml:space="preserve"> and then after the switch</w:t>
      </w:r>
      <w:r>
        <w:t xml:space="preserve">, the customer </w:t>
      </w:r>
      <w:r w:rsidRPr="00B4695C">
        <w:t>received “daily phone calls from Public Power trying to force me into cancelling my switch away from them.</w:t>
      </w:r>
      <w:r>
        <w:t>”</w:t>
      </w:r>
      <w:r w:rsidRPr="00B4695C">
        <w:t xml:space="preserve">  Customer says: “this is abusive</w:t>
      </w:r>
      <w:r>
        <w:t>.</w:t>
      </w:r>
      <w:r w:rsidRPr="00B4695C">
        <w:t xml:space="preserve">” </w:t>
      </w:r>
    </w:p>
  </w:footnote>
  <w:footnote w:id="29">
    <w:p w14:paraId="2E37E34F" w14:textId="77777777" w:rsidR="00355526" w:rsidRDefault="00355526" w:rsidP="00FA285A">
      <w:pPr>
        <w:pStyle w:val="FootnoteText"/>
        <w:spacing w:after="120"/>
      </w:pPr>
      <w:r>
        <w:rPr>
          <w:rStyle w:val="FootnoteReference"/>
        </w:rPr>
        <w:footnoteRef/>
      </w:r>
      <w:r>
        <w:t xml:space="preserve"> PDF 19-9 (which is reproduced in Exhibit 3).</w:t>
      </w:r>
    </w:p>
  </w:footnote>
  <w:footnote w:id="30">
    <w:p w14:paraId="31180DFD" w14:textId="77777777" w:rsidR="00355526" w:rsidRDefault="00355526" w:rsidP="002F2E9F">
      <w:pPr>
        <w:pStyle w:val="FootnoteText"/>
        <w:spacing w:after="120"/>
      </w:pPr>
      <w:r>
        <w:rPr>
          <w:rStyle w:val="FootnoteReference"/>
        </w:rPr>
        <w:footnoteRef/>
      </w:r>
      <w:r>
        <w:t xml:space="preserve"> For example, a </w:t>
      </w:r>
      <w:r w:rsidRPr="00860A87">
        <w:t>customer thought s/he was slammed</w:t>
      </w:r>
      <w:r>
        <w:t>,</w:t>
      </w:r>
      <w:r w:rsidRPr="00860A87">
        <w:t xml:space="preserve"> and it was reco</w:t>
      </w:r>
      <w:r>
        <w:t>rded as such on the intake form;</w:t>
      </w:r>
      <w:r w:rsidRPr="00860A87">
        <w:t xml:space="preserve"> but </w:t>
      </w:r>
      <w:r>
        <w:t>since the</w:t>
      </w:r>
      <w:r w:rsidRPr="00860A87">
        <w:t xml:space="preserve"> details </w:t>
      </w:r>
      <w:r>
        <w:t xml:space="preserve">of </w:t>
      </w:r>
      <w:r w:rsidRPr="00860A87">
        <w:t>the complaint</w:t>
      </w:r>
      <w:r>
        <w:t xml:space="preserve"> indicated </w:t>
      </w:r>
      <w:r w:rsidRPr="00860A87">
        <w:t xml:space="preserve">that </w:t>
      </w:r>
      <w:r>
        <w:t>the</w:t>
      </w:r>
      <w:r w:rsidRPr="00860A87">
        <w:t xml:space="preserve"> customer had agreed to buy the</w:t>
      </w:r>
      <w:r>
        <w:t xml:space="preserve"> Supplier</w:t>
      </w:r>
      <w:r w:rsidRPr="00860A87">
        <w:t>’s service</w:t>
      </w:r>
      <w:r>
        <w:t>,</w:t>
      </w:r>
      <w:r w:rsidRPr="00860A87">
        <w:t xml:space="preserve"> </w:t>
      </w:r>
      <w:r>
        <w:t>we</w:t>
      </w:r>
      <w:r w:rsidRPr="00860A87">
        <w:t xml:space="preserve"> did not classify the complaint as </w:t>
      </w:r>
      <w:r>
        <w:t>“</w:t>
      </w:r>
      <w:r w:rsidRPr="00860A87">
        <w:t>slamming.</w:t>
      </w:r>
      <w:r>
        <w:t>”</w:t>
      </w:r>
      <w:r w:rsidRPr="00860A87">
        <w:t xml:space="preserve"> </w:t>
      </w:r>
      <w:r>
        <w:t xml:space="preserve"> </w:t>
      </w:r>
      <w:r w:rsidRPr="004C5AD6">
        <w:rPr>
          <w:i/>
        </w:rPr>
        <w:t>See, e.g.</w:t>
      </w:r>
      <w:r w:rsidRPr="00860A87">
        <w:t>, PDF</w:t>
      </w:r>
      <w:r>
        <w:t xml:space="preserve"> </w:t>
      </w:r>
      <w:r w:rsidRPr="00860A87">
        <w:t>11-2.</w:t>
      </w:r>
    </w:p>
  </w:footnote>
  <w:footnote w:id="31">
    <w:p w14:paraId="02DD76E9" w14:textId="77777777" w:rsidR="00355526" w:rsidRDefault="00355526" w:rsidP="002F2E9F">
      <w:pPr>
        <w:pStyle w:val="FootnoteText"/>
        <w:spacing w:after="120"/>
      </w:pPr>
      <w:r>
        <w:rPr>
          <w:rStyle w:val="FootnoteReference"/>
        </w:rPr>
        <w:footnoteRef/>
      </w:r>
      <w:r>
        <w:t xml:space="preserve"> PDF 15-24.</w:t>
      </w:r>
    </w:p>
  </w:footnote>
  <w:footnote w:id="32">
    <w:p w14:paraId="05276D83" w14:textId="77777777" w:rsidR="00355526" w:rsidRDefault="00355526">
      <w:pPr>
        <w:pStyle w:val="FootnoteText"/>
      </w:pPr>
      <w:r>
        <w:rPr>
          <w:rStyle w:val="FootnoteReference"/>
        </w:rPr>
        <w:footnoteRef/>
      </w:r>
      <w:r>
        <w:t xml:space="preserve"> This table excludes Suppliers for which no complaints were recorded in this category.</w:t>
      </w:r>
    </w:p>
  </w:footnote>
  <w:footnote w:id="33">
    <w:p w14:paraId="54A0FC27" w14:textId="77777777" w:rsidR="00355526" w:rsidRDefault="00355526" w:rsidP="00331524">
      <w:pPr>
        <w:pStyle w:val="FootnoteText"/>
      </w:pPr>
      <w:r>
        <w:rPr>
          <w:rStyle w:val="FootnoteReference"/>
        </w:rPr>
        <w:footnoteRef/>
      </w:r>
      <w:r>
        <w:t xml:space="preserve"> This table excludes Suppliers for which no complaints were recorded in this category.</w:t>
      </w:r>
    </w:p>
  </w:footnote>
  <w:footnote w:id="34">
    <w:p w14:paraId="3EF65287" w14:textId="77777777" w:rsidR="00355526" w:rsidRDefault="00355526">
      <w:pPr>
        <w:pStyle w:val="FootnoteText"/>
      </w:pPr>
      <w:r>
        <w:rPr>
          <w:rStyle w:val="FootnoteReference"/>
        </w:rPr>
        <w:footnoteRef/>
      </w:r>
      <w:r>
        <w:t xml:space="preserve"> Sometimes the description of the complaint indicates that a Supplier intends to give a credit as a result of the consumer complaint but if there is not a value recorded in the credit field, a credit</w:t>
      </w:r>
      <w:r w:rsidRPr="004E1194">
        <w:t xml:space="preserve"> </w:t>
      </w:r>
      <w:r>
        <w:t>is not recorded.</w:t>
      </w:r>
    </w:p>
  </w:footnote>
  <w:footnote w:id="35">
    <w:p w14:paraId="0AC8E4F4" w14:textId="77777777" w:rsidR="00355526" w:rsidRDefault="00355526" w:rsidP="00B70932">
      <w:pPr>
        <w:pStyle w:val="FootnoteText"/>
        <w:rPr>
          <w:noProof/>
        </w:rPr>
      </w:pPr>
      <w:r>
        <w:rPr>
          <w:rStyle w:val="FootnoteReference"/>
        </w:rPr>
        <w:footnoteRef/>
      </w:r>
      <w:r>
        <w:rPr>
          <w:noProof/>
        </w:rPr>
        <w:t xml:space="preserve"> PDF 7-6.</w:t>
      </w:r>
    </w:p>
    <w:p w14:paraId="58042B4C" w14:textId="77777777" w:rsidR="00355526" w:rsidRDefault="00355526" w:rsidP="00B70932">
      <w:pPr>
        <w:pStyle w:val="FootnoteText"/>
      </w:pPr>
      <w:r>
        <w:rPr>
          <w:noProof/>
        </w:rPr>
        <w:drawing>
          <wp:inline distT="0" distB="0" distL="0" distR="0" wp14:anchorId="5F4F7F7E" wp14:editId="07DAEDFA">
            <wp:extent cx="5943600" cy="2514600"/>
            <wp:effectExtent l="0" t="0" r="0" b="0"/>
            <wp:docPr id="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footnote>
  <w:footnote w:id="36">
    <w:p w14:paraId="32FDE777" w14:textId="77777777" w:rsidR="00355526" w:rsidRDefault="00355526" w:rsidP="00B70932">
      <w:pPr>
        <w:pStyle w:val="FootnoteText"/>
      </w:pPr>
      <w:r>
        <w:rPr>
          <w:rStyle w:val="FootnoteReference"/>
        </w:rPr>
        <w:footnoteRef/>
      </w:r>
      <w:r>
        <w:t xml:space="preserve"> PDF 7-30. </w:t>
      </w:r>
      <w:r>
        <w:rPr>
          <w:noProof/>
        </w:rPr>
        <w:drawing>
          <wp:inline distT="0" distB="0" distL="0" distR="0" wp14:anchorId="74E84431" wp14:editId="0D8D0ABC">
            <wp:extent cx="5943600" cy="1498600"/>
            <wp:effectExtent l="0" t="0" r="0" b="0"/>
            <wp:docPr id="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3600" cy="1498600"/>
                    </a:xfrm>
                    <a:prstGeom prst="rect">
                      <a:avLst/>
                    </a:prstGeom>
                    <a:noFill/>
                    <a:ln>
                      <a:noFill/>
                    </a:ln>
                  </pic:spPr>
                </pic:pic>
              </a:graphicData>
            </a:graphic>
          </wp:inline>
        </w:drawing>
      </w:r>
    </w:p>
  </w:footnote>
  <w:footnote w:id="37">
    <w:p w14:paraId="51A58670" w14:textId="77777777" w:rsidR="00355526" w:rsidRPr="00EF0A1E" w:rsidRDefault="00355526" w:rsidP="00EF0A1E">
      <w:pPr>
        <w:pStyle w:val="FootnoteText"/>
        <w:spacing w:after="120"/>
      </w:pPr>
      <w:r w:rsidRPr="00EF0A1E">
        <w:rPr>
          <w:rStyle w:val="FootnoteReference"/>
          <w:sz w:val="20"/>
        </w:rPr>
        <w:footnoteRef/>
      </w:r>
      <w:r w:rsidRPr="00EF0A1E">
        <w:t xml:space="preserve"> </w:t>
      </w:r>
      <w:r w:rsidRPr="00A129F9">
        <w:rPr>
          <w:i/>
        </w:rPr>
        <w:t>See</w:t>
      </w:r>
      <w:r w:rsidRPr="00EF0A1E">
        <w:t xml:space="preserve"> Table 1, above, which shows the following rankings based on absolute quantities of consumer complaints Starion (1</w:t>
      </w:r>
      <w:r w:rsidRPr="00EF0A1E">
        <w:rPr>
          <w:vertAlign w:val="superscript"/>
        </w:rPr>
        <w:t>st</w:t>
      </w:r>
      <w:r w:rsidRPr="00EF0A1E">
        <w:t>); Public Power and Utility (2</w:t>
      </w:r>
      <w:r w:rsidRPr="00EF0A1E">
        <w:rPr>
          <w:vertAlign w:val="superscript"/>
        </w:rPr>
        <w:t>nd</w:t>
      </w:r>
      <w:r w:rsidRPr="00EF0A1E">
        <w:t xml:space="preserve">); </w:t>
      </w:r>
      <w:r>
        <w:t>North American Power &amp; Gas (3</w:t>
      </w:r>
      <w:r w:rsidRPr="00A129F9">
        <w:rPr>
          <w:vertAlign w:val="superscript"/>
        </w:rPr>
        <w:t>rd</w:t>
      </w:r>
      <w:r>
        <w:t xml:space="preserve">); </w:t>
      </w:r>
      <w:r w:rsidRPr="00EF0A1E">
        <w:t>Direct Energy (4</w:t>
      </w:r>
      <w:r w:rsidRPr="00EF0A1E">
        <w:rPr>
          <w:vertAlign w:val="superscript"/>
        </w:rPr>
        <w:t>th</w:t>
      </w:r>
      <w:r w:rsidRPr="00EF0A1E">
        <w:t xml:space="preserve">); </w:t>
      </w:r>
      <w:r>
        <w:t xml:space="preserve">and </w:t>
      </w:r>
      <w:r w:rsidRPr="00EF0A1E">
        <w:t>Clearview (5</w:t>
      </w:r>
      <w:r w:rsidRPr="00EF0A1E">
        <w:rPr>
          <w:vertAlign w:val="superscript"/>
        </w:rPr>
        <w:t>th</w:t>
      </w:r>
      <w:r w:rsidRPr="00EF0A1E">
        <w:t>).  The other three</w:t>
      </w:r>
      <w:r>
        <w:t xml:space="preserve"> Supplier</w:t>
      </w:r>
      <w:r w:rsidRPr="00EF0A1E">
        <w:t>s for which there is evidence of door-to-door sales include Constellation (10</w:t>
      </w:r>
      <w:r w:rsidRPr="00EF0A1E">
        <w:rPr>
          <w:vertAlign w:val="superscript"/>
        </w:rPr>
        <w:t>th</w:t>
      </w:r>
      <w:r w:rsidRPr="00EF0A1E">
        <w:t>); Palmco (12</w:t>
      </w:r>
      <w:r w:rsidRPr="00EF0A1E">
        <w:rPr>
          <w:vertAlign w:val="superscript"/>
        </w:rPr>
        <w:t>th</w:t>
      </w:r>
      <w:r w:rsidRPr="00EF0A1E">
        <w:t>); and Energy Plus (15</w:t>
      </w:r>
      <w:r w:rsidRPr="00EF0A1E">
        <w:rPr>
          <w:vertAlign w:val="superscript"/>
        </w:rPr>
        <w:t>th</w:t>
      </w:r>
      <w:r w:rsidRPr="00EF0A1E">
        <w:t>).</w:t>
      </w:r>
    </w:p>
  </w:footnote>
  <w:footnote w:id="38">
    <w:p w14:paraId="56235818" w14:textId="77777777" w:rsidR="00355526" w:rsidRPr="00EF0A1E" w:rsidRDefault="00355526" w:rsidP="00EF0A1E">
      <w:pPr>
        <w:spacing w:after="120"/>
        <w:rPr>
          <w:sz w:val="20"/>
          <w:szCs w:val="20"/>
        </w:rPr>
      </w:pPr>
      <w:r w:rsidRPr="00EF0A1E">
        <w:rPr>
          <w:rStyle w:val="FootnoteReference"/>
          <w:sz w:val="20"/>
          <w:szCs w:val="20"/>
        </w:rPr>
        <w:footnoteRef/>
      </w:r>
      <w:r w:rsidRPr="00EF0A1E">
        <w:rPr>
          <w:sz w:val="20"/>
          <w:szCs w:val="20"/>
        </w:rPr>
        <w:t xml:space="preserve">  Responses of Direct Energy, North American Power and Gas, Public Power, </w:t>
      </w:r>
      <w:r>
        <w:rPr>
          <w:sz w:val="20"/>
          <w:szCs w:val="20"/>
        </w:rPr>
        <w:t xml:space="preserve">and </w:t>
      </w:r>
      <w:r w:rsidRPr="00EF0A1E">
        <w:rPr>
          <w:sz w:val="20"/>
          <w:szCs w:val="20"/>
        </w:rPr>
        <w:t>Starion to OCC-44.</w:t>
      </w:r>
    </w:p>
  </w:footnote>
  <w:footnote w:id="39">
    <w:p w14:paraId="24F76FA8" w14:textId="77777777" w:rsidR="00355526" w:rsidRPr="0038616A" w:rsidRDefault="00355526" w:rsidP="0038616A">
      <w:pPr>
        <w:spacing w:after="120"/>
        <w:rPr>
          <w:sz w:val="20"/>
          <w:szCs w:val="20"/>
        </w:rPr>
      </w:pPr>
      <w:r w:rsidRPr="008450C8">
        <w:rPr>
          <w:rStyle w:val="FootnoteReference"/>
          <w:sz w:val="20"/>
          <w:szCs w:val="20"/>
        </w:rPr>
        <w:footnoteRef/>
      </w:r>
      <w:r w:rsidRPr="008450C8">
        <w:rPr>
          <w:sz w:val="20"/>
          <w:szCs w:val="20"/>
        </w:rPr>
        <w:t xml:space="preserve"> </w:t>
      </w:r>
      <w:r w:rsidRPr="008450C8">
        <w:rPr>
          <w:i/>
          <w:sz w:val="20"/>
          <w:szCs w:val="20"/>
        </w:rPr>
        <w:t>See, e.g.</w:t>
      </w:r>
      <w:r w:rsidRPr="008450C8">
        <w:rPr>
          <w:sz w:val="20"/>
          <w:szCs w:val="20"/>
        </w:rPr>
        <w:t>, PDF 7-14, which includes the following text: “1.  Very High generation rates $.189.  2.  Not informing the customer about these enormous rate changes. 3. Not providing any details on terms and condition of service or plan.  On Nov. 2012, a salesperson from Starion energy came to our house and said that we could save moner (sic) by switching frmo (sic) CL&amp;P to Starion  He said that everything will remain same</w:t>
      </w:r>
      <w:r>
        <w:rPr>
          <w:sz w:val="20"/>
          <w:szCs w:val="20"/>
        </w:rPr>
        <w:t>.”</w:t>
      </w:r>
    </w:p>
  </w:footnote>
  <w:footnote w:id="40">
    <w:p w14:paraId="438338D4" w14:textId="77777777" w:rsidR="00355526" w:rsidRDefault="00355526">
      <w:pPr>
        <w:pStyle w:val="FootnoteText"/>
      </w:pPr>
      <w:r>
        <w:rPr>
          <w:rStyle w:val="FootnoteReference"/>
        </w:rPr>
        <w:footnoteRef/>
      </w:r>
      <w:r>
        <w:t xml:space="preserve"> We did not analyze other customer classes.</w:t>
      </w:r>
    </w:p>
    <w:p w14:paraId="1C27EAB8" w14:textId="77777777" w:rsidR="00355526" w:rsidRDefault="00355526">
      <w:pPr>
        <w:pStyle w:val="FootnoteText"/>
      </w:pPr>
    </w:p>
  </w:footnote>
  <w:footnote w:id="41">
    <w:p w14:paraId="4264562E" w14:textId="77777777" w:rsidR="00355526" w:rsidRDefault="00355526" w:rsidP="00EF0A1E">
      <w:pPr>
        <w:pStyle w:val="FootnoteText"/>
        <w:spacing w:after="120"/>
      </w:pPr>
      <w:r>
        <w:rPr>
          <w:rStyle w:val="FootnoteReference"/>
        </w:rPr>
        <w:footnoteRef/>
      </w:r>
      <w:r>
        <w:t xml:space="preserve"> CL&amp;P responses to OCC-006 &amp; OCC-007.  Data as of January 7, 2014.</w:t>
      </w:r>
    </w:p>
  </w:footnote>
  <w:footnote w:id="42">
    <w:p w14:paraId="1E4B0B8A" w14:textId="77777777" w:rsidR="00355526" w:rsidRDefault="00355526" w:rsidP="00EF0A1E">
      <w:pPr>
        <w:pStyle w:val="FootnoteText"/>
        <w:spacing w:after="120"/>
      </w:pPr>
      <w:r>
        <w:rPr>
          <w:rStyle w:val="FootnoteReference"/>
        </w:rPr>
        <w:footnoteRef/>
      </w:r>
      <w:r>
        <w:t xml:space="preserve"> UI responses to OCC-16 &amp; OCC-17.  </w:t>
      </w:r>
      <w:r w:rsidRPr="002954C2">
        <w:t>Data for time period December 2013 - January 2014 (specifically, billing cycle 8 for December 2013 through billing cycle 7 of January 2014).</w:t>
      </w:r>
    </w:p>
  </w:footnote>
  <w:footnote w:id="43">
    <w:p w14:paraId="40066508" w14:textId="77777777" w:rsidR="00355526" w:rsidRPr="00045A04" w:rsidRDefault="00355526" w:rsidP="00EF0A1E">
      <w:pPr>
        <w:pStyle w:val="FootnoteText"/>
        <w:spacing w:after="120"/>
      </w:pPr>
      <w:r w:rsidRPr="00045A04">
        <w:rPr>
          <w:rStyle w:val="FootnoteReference"/>
          <w:sz w:val="20"/>
        </w:rPr>
        <w:footnoteRef/>
      </w:r>
      <w:r w:rsidRPr="00045A04">
        <w:t xml:space="preserve"> “The Winter Moratorium is the time period from November 1 through May 1 when customers who are deemed a </w:t>
      </w:r>
      <w:r>
        <w:t>‘</w:t>
      </w:r>
      <w:r w:rsidRPr="00045A04">
        <w:t>hardship case</w:t>
      </w:r>
      <w:r>
        <w:t>’</w:t>
      </w:r>
      <w:r w:rsidRPr="00045A04">
        <w:t xml:space="preserve"> (because of income or illness) cannot have their utility service terminated if they lack the financial ability to pay their entire bill for gas or electric service. </w:t>
      </w:r>
      <w:r>
        <w:t xml:space="preserve"> </w:t>
      </w:r>
      <w:r w:rsidRPr="00045A04">
        <w:t xml:space="preserve">The customer is required to apply to </w:t>
      </w:r>
      <w:r>
        <w:t xml:space="preserve">[his EDC] </w:t>
      </w:r>
      <w:r w:rsidRPr="00045A04">
        <w:t xml:space="preserve">with proof of hardship, at which time if the requirements are met the customer's account is put into protected status.” </w:t>
      </w:r>
      <w:r>
        <w:t xml:space="preserve"> </w:t>
      </w:r>
      <w:r w:rsidRPr="00045A04">
        <w:t xml:space="preserve">Public Utilities Regulatory Authority, Consumer Services – Frequently Asked Questions, </w:t>
      </w:r>
      <w:r>
        <w:t>&lt;</w:t>
      </w:r>
      <w:hyperlink r:id="rId4" w:history="1">
        <w:r w:rsidRPr="00045A04">
          <w:rPr>
            <w:rStyle w:val="Hyperlink"/>
          </w:rPr>
          <w:t>http://www.ct.gov/pura/cwp/view.asp?a=3352&amp;q=404054</w:t>
        </w:r>
      </w:hyperlink>
      <w:r>
        <w:rPr>
          <w:rStyle w:val="Hyperlink"/>
        </w:rPr>
        <w:t>&gt;</w:t>
      </w:r>
      <w:r w:rsidRPr="00045A04">
        <w:t xml:space="preserve">.  “Connecticut state law mandates that no electric or gas company shall terminate or refuse to reinstate residential electric or gas service where the customer lacks the financial resources to pay his or her entire account and for which customer or member of a customer's household the termination or failure to reinstate service would create a life-threatening situation.”  </w:t>
      </w:r>
      <w:r>
        <w:t>&lt;</w:t>
      </w:r>
      <w:hyperlink r:id="rId5" w:history="1">
        <w:r w:rsidRPr="00045A04">
          <w:rPr>
            <w:rStyle w:val="Hyperlink"/>
          </w:rPr>
          <w:t>http://www.ct.gov/pura/cwp/view.asp?a=3352&amp;q=405212&amp;puraNav=|</w:t>
        </w:r>
      </w:hyperlink>
      <w:r>
        <w:rPr>
          <w:rStyle w:val="Hyperlink"/>
        </w:rPr>
        <w:t>&gt;.</w:t>
      </w:r>
      <w:r w:rsidRPr="00045A04">
        <w:t xml:space="preserve">  “If you heat with either gas or electricity and apply and qualify for hardship status you will be assured of electric and gas service during the winter moratorium. </w:t>
      </w:r>
      <w:r>
        <w:t xml:space="preserve"> </w:t>
      </w:r>
      <w:r w:rsidRPr="00045A04">
        <w:t>The winter moratorium runs from November 1 to May 1. The utility company, in all likelihood, will encourage you to enter into a payment plan and to apply for energy assistance.</w:t>
      </w:r>
      <w:r>
        <w:t xml:space="preserve"> </w:t>
      </w:r>
      <w:r w:rsidRPr="00045A04">
        <w:t xml:space="preserve"> If you qualify, the gas or electric company may match all, or part of any payments made on your account.”  </w:t>
      </w:r>
      <w:r w:rsidRPr="00045A04">
        <w:rPr>
          <w:i/>
        </w:rPr>
        <w:t>Id.</w:t>
      </w:r>
    </w:p>
    <w:p w14:paraId="505EAAB6" w14:textId="77777777" w:rsidR="00355526" w:rsidRDefault="00355526" w:rsidP="00EF0A1E">
      <w:pPr>
        <w:pStyle w:val="FootnoteText"/>
        <w:spacing w:after="120"/>
      </w:pPr>
    </w:p>
  </w:footnote>
  <w:footnote w:id="44">
    <w:p w14:paraId="5AC7FAE8" w14:textId="77777777" w:rsidR="00355526" w:rsidRDefault="00355526" w:rsidP="00EF0A1E">
      <w:pPr>
        <w:pStyle w:val="FootnoteText"/>
        <w:spacing w:after="120"/>
      </w:pPr>
      <w:r>
        <w:rPr>
          <w:rStyle w:val="FootnoteReference"/>
        </w:rPr>
        <w:footnoteRef/>
      </w:r>
      <w:r>
        <w:t xml:space="preserve"> Source: CL&amp;P Response to OCC-06 &amp; OCC-07.  Data as of January 4, 2014.</w:t>
      </w:r>
    </w:p>
  </w:footnote>
  <w:footnote w:id="45">
    <w:p w14:paraId="44F17A9C" w14:textId="07DAF380" w:rsidR="00355526" w:rsidRPr="008758B0" w:rsidRDefault="00355526" w:rsidP="00EF0A1E">
      <w:pPr>
        <w:pStyle w:val="FootnoteText"/>
        <w:spacing w:after="120"/>
      </w:pPr>
      <w:r>
        <w:rPr>
          <w:rStyle w:val="FootnoteReference"/>
        </w:rPr>
        <w:footnoteRef/>
      </w:r>
      <w:r>
        <w:t xml:space="preserve"> R</w:t>
      </w:r>
      <w:r w:rsidRPr="008758B0">
        <w:t>egarding assistance</w:t>
      </w:r>
      <w:r>
        <w:t>,</w:t>
      </w:r>
      <w:r w:rsidRPr="008758B0">
        <w:t xml:space="preserve"> CL&amp;P states: </w:t>
      </w:r>
      <w:r>
        <w:t xml:space="preserve">“Assistance is defined as programs that directly affect the low-income customer’s financial obligations to CL&amp;P and contribute towards eliminating the arrearages on their CL&amp;P </w:t>
      </w:r>
      <w:r w:rsidR="00902418">
        <w:t>account. CL&amp;P</w:t>
      </w:r>
      <w:r>
        <w:t xml:space="preserve"> offers two distinct assistance programs to it’s [sic] low income customers; the Matching Payment Program and the Nustart program.  Low-income customers can also apply for the Contingency Heating Assistance Program (CHAP) thru the state’s social agencies.”  CL&amp;P Response to OCC-006.  </w:t>
      </w:r>
    </w:p>
  </w:footnote>
  <w:footnote w:id="46">
    <w:p w14:paraId="7EF994D3" w14:textId="77777777" w:rsidR="00355526" w:rsidRDefault="00355526" w:rsidP="00EF0A1E">
      <w:pPr>
        <w:pStyle w:val="FootnoteText"/>
        <w:spacing w:after="120"/>
      </w:pPr>
      <w:r>
        <w:rPr>
          <w:rStyle w:val="FootnoteReference"/>
        </w:rPr>
        <w:footnoteRef/>
      </w:r>
      <w:r>
        <w:t xml:space="preserve"> Regarding hardship, CL&amp;P states: “Accounts with [hardship] identifier are protected during Winter Moratorium.”  Medical Hardship are accounts protected “due to certified medical conditions in the household.  This is used for both Serious Medical and Life Threatening Medical.”  Hardship also includes accounts enrolled in CL&amp;P’s low-income programs.  CL&amp;P Response to OCC-010.</w:t>
      </w:r>
    </w:p>
  </w:footnote>
  <w:footnote w:id="47">
    <w:p w14:paraId="47CF60E8" w14:textId="77777777" w:rsidR="00355526" w:rsidRDefault="00355526" w:rsidP="00EF0A1E">
      <w:pPr>
        <w:pStyle w:val="FootnoteText"/>
        <w:spacing w:after="120"/>
      </w:pPr>
      <w:r>
        <w:rPr>
          <w:rStyle w:val="FootnoteReference"/>
        </w:rPr>
        <w:footnoteRef/>
      </w:r>
      <w:r>
        <w:t xml:space="preserve"> Source: CL&amp;P confidential attachment to OCC-001.</w:t>
      </w:r>
    </w:p>
  </w:footnote>
  <w:footnote w:id="48">
    <w:p w14:paraId="79C580AA" w14:textId="77777777" w:rsidR="00355526" w:rsidRDefault="00355526" w:rsidP="00EF0A1E">
      <w:pPr>
        <w:pStyle w:val="FootnoteText"/>
        <w:spacing w:after="120"/>
      </w:pPr>
      <w:r>
        <w:rPr>
          <w:rStyle w:val="FootnoteReference"/>
        </w:rPr>
        <w:footnoteRef/>
      </w:r>
      <w:r>
        <w:t xml:space="preserve"> CL&amp;P confidential attachment to OCC-001.</w:t>
      </w:r>
    </w:p>
  </w:footnote>
  <w:footnote w:id="49">
    <w:p w14:paraId="28E5F88A" w14:textId="77777777" w:rsidR="00355526" w:rsidRDefault="00355526" w:rsidP="00EF0A1E">
      <w:pPr>
        <w:pStyle w:val="FootnoteText"/>
        <w:spacing w:after="120"/>
      </w:pPr>
      <w:r>
        <w:rPr>
          <w:rStyle w:val="FootnoteReference"/>
        </w:rPr>
        <w:footnoteRef/>
      </w:r>
      <w:r>
        <w:t xml:space="preserve"> CL&amp;P confidential attachment to OCC-001.  We dropped four customers from our analysis who are coded as having a Supplier price of 0.  CL&amp;P does not address this in its response, but UI indicated that price of 0.0 is used to “signify that a customer is direct billed by the Supplier.  UI has no knowledge of the price billed by the Supplier.”  See UI response to AD-002.  This is a good assumption in CL&amp;P’s case.  Furthermore, the elimination of 3 customers from a pool of over 440,000 has no impact on my conclusions regarding weighted average price and the market in general.  Indeed, the weighted average price is the same with or without those data points.</w:t>
      </w:r>
    </w:p>
  </w:footnote>
  <w:footnote w:id="50">
    <w:p w14:paraId="197C8680" w14:textId="77777777" w:rsidR="00355526" w:rsidRDefault="00355526" w:rsidP="00A005B7">
      <w:pPr>
        <w:pStyle w:val="FootnoteText"/>
      </w:pPr>
      <w:r>
        <w:rPr>
          <w:rStyle w:val="FootnoteReference"/>
        </w:rPr>
        <w:footnoteRef/>
      </w:r>
      <w:r>
        <w:t xml:space="preserve"> Source:  Calculations based on data from CL&amp;P confidential attachment to OCC-01.</w:t>
      </w:r>
    </w:p>
  </w:footnote>
  <w:footnote w:id="51">
    <w:p w14:paraId="59409119" w14:textId="77777777" w:rsidR="00355526" w:rsidRDefault="00355526" w:rsidP="00A005B7">
      <w:pPr>
        <w:pStyle w:val="FootnoteText"/>
      </w:pPr>
      <w:r>
        <w:rPr>
          <w:rStyle w:val="FootnoteReference"/>
        </w:rPr>
        <w:footnoteRef/>
      </w:r>
      <w:r>
        <w:t xml:space="preserve"> Source: CL&amp;P response to OCC-009.</w:t>
      </w:r>
    </w:p>
  </w:footnote>
  <w:footnote w:id="52">
    <w:p w14:paraId="1D0B598E" w14:textId="77777777" w:rsidR="00355526" w:rsidRDefault="00355526" w:rsidP="00A005B7">
      <w:pPr>
        <w:pStyle w:val="FootnoteText"/>
      </w:pPr>
      <w:r>
        <w:rPr>
          <w:rStyle w:val="FootnoteReference"/>
        </w:rPr>
        <w:footnoteRef/>
      </w:r>
      <w:r>
        <w:t xml:space="preserve"> UI response to OCC-13, Attachment 1 &amp; Attachment 3.  Data encompasses billing cycles 8-17 in 2013 and 1-7 in 2014 (</w:t>
      </w:r>
      <w:r w:rsidRPr="009E154F">
        <w:rPr>
          <w:i/>
        </w:rPr>
        <w:t>i.e.</w:t>
      </w:r>
      <w:r>
        <w:rPr>
          <w:i/>
        </w:rPr>
        <w:t>,</w:t>
      </w:r>
      <w:r>
        <w:t xml:space="preserve"> roughly mid-December 2013 through roughly mid-January 2014).</w:t>
      </w:r>
    </w:p>
  </w:footnote>
  <w:footnote w:id="53">
    <w:p w14:paraId="57775E86" w14:textId="77777777" w:rsidR="00355526" w:rsidRPr="003869FC" w:rsidRDefault="00355526" w:rsidP="003869FC">
      <w:pPr>
        <w:pStyle w:val="FootnoteText"/>
        <w:spacing w:after="120"/>
      </w:pPr>
      <w:r w:rsidRPr="003869FC">
        <w:rPr>
          <w:rStyle w:val="FootnoteReference"/>
          <w:sz w:val="20"/>
        </w:rPr>
        <w:footnoteRef/>
      </w:r>
      <w:r w:rsidRPr="003869FC">
        <w:t xml:space="preserve"> Source: UI Response to OCC-16, Attachment 1 and OCC-17, Attachment 1.  Data for time period Cycle 08 of December 2013 through Cycle 7 </w:t>
      </w:r>
      <w:r>
        <w:t xml:space="preserve">of </w:t>
      </w:r>
      <w:r w:rsidRPr="003869FC">
        <w:t>January 2014.</w:t>
      </w:r>
    </w:p>
  </w:footnote>
  <w:footnote w:id="54">
    <w:p w14:paraId="19720E87" w14:textId="77777777" w:rsidR="00355526" w:rsidRPr="003869FC" w:rsidRDefault="00355526" w:rsidP="003869FC">
      <w:pPr>
        <w:spacing w:after="120"/>
        <w:rPr>
          <w:sz w:val="20"/>
          <w:szCs w:val="20"/>
        </w:rPr>
      </w:pPr>
      <w:r w:rsidRPr="003869FC">
        <w:rPr>
          <w:rStyle w:val="FootnoteReference"/>
          <w:sz w:val="20"/>
          <w:szCs w:val="20"/>
        </w:rPr>
        <w:footnoteRef/>
      </w:r>
      <w:r w:rsidRPr="003869FC">
        <w:rPr>
          <w:sz w:val="20"/>
          <w:szCs w:val="20"/>
        </w:rPr>
        <w:t xml:space="preserve"> Calculations from data provided in Attachment 1 to OCC-13.  Confidential Attachment 2 to OCC-13 provides every Supplier price that was charged in a billing period and the number of customers for any given price for each Supplier, individually.  </w:t>
      </w:r>
      <w:r>
        <w:rPr>
          <w:sz w:val="20"/>
          <w:szCs w:val="20"/>
        </w:rPr>
        <w:t>We</w:t>
      </w:r>
      <w:r w:rsidRPr="003869FC">
        <w:rPr>
          <w:sz w:val="20"/>
          <w:szCs w:val="20"/>
        </w:rPr>
        <w:t xml:space="preserve"> discuss that in more detail below.</w:t>
      </w:r>
    </w:p>
  </w:footnote>
  <w:footnote w:id="55">
    <w:p w14:paraId="47A40E56" w14:textId="77777777" w:rsidR="00355526" w:rsidRPr="00592B1E" w:rsidRDefault="00355526" w:rsidP="00EF0A1E">
      <w:pPr>
        <w:pStyle w:val="FootnoteText"/>
        <w:spacing w:after="120"/>
      </w:pPr>
      <w:r w:rsidRPr="00592B1E">
        <w:rPr>
          <w:rStyle w:val="FootnoteReference"/>
          <w:sz w:val="20"/>
        </w:rPr>
        <w:footnoteRef/>
      </w:r>
      <w:r w:rsidRPr="00592B1E">
        <w:t xml:space="preserve"> UI response to OCC-016.</w:t>
      </w:r>
    </w:p>
  </w:footnote>
  <w:footnote w:id="56">
    <w:p w14:paraId="7BC6C30B" w14:textId="77777777" w:rsidR="00355526" w:rsidRPr="006B3B1A" w:rsidRDefault="00355526" w:rsidP="00EF0A1E">
      <w:pPr>
        <w:pStyle w:val="FootnoteText"/>
        <w:spacing w:after="120"/>
      </w:pPr>
      <w:r w:rsidRPr="006B3B1A">
        <w:rPr>
          <w:rStyle w:val="FootnoteReference"/>
        </w:rPr>
        <w:footnoteRef/>
      </w:r>
      <w:r w:rsidRPr="006B3B1A">
        <w:t xml:space="preserve"> There are 17 meter reading cycles in a month (UI response to OCC-012) and the time period for the data encompasses </w:t>
      </w:r>
      <w:r>
        <w:t>C</w:t>
      </w:r>
      <w:r w:rsidRPr="006B3B1A">
        <w:t xml:space="preserve">ycle 8 in December 2013 through </w:t>
      </w:r>
      <w:r>
        <w:t>C</w:t>
      </w:r>
      <w:r w:rsidRPr="006B3B1A">
        <w:t xml:space="preserve">ycle 7 of January 2014.  Therefore, </w:t>
      </w:r>
      <w:r>
        <w:t>we</w:t>
      </w:r>
      <w:r w:rsidRPr="006B3B1A">
        <w:t xml:space="preserve"> calculate that there are ten billing cycles at the lower UI rate and 7 cycles at the higher UI rate during the month for which </w:t>
      </w:r>
      <w:r>
        <w:t>we</w:t>
      </w:r>
      <w:r w:rsidRPr="006B3B1A">
        <w:t xml:space="preserve"> analyze the data.  </w:t>
      </w:r>
      <w:r>
        <w:t xml:space="preserve">We </w:t>
      </w:r>
      <w:r w:rsidRPr="006B3B1A">
        <w:t>calculate a weighted average standard rate for UI by giving the December rate a weight of 10 and the January rate a weight of 7.</w:t>
      </w:r>
    </w:p>
  </w:footnote>
  <w:footnote w:id="57">
    <w:p w14:paraId="133579FB" w14:textId="77777777" w:rsidR="00355526" w:rsidRDefault="00355526" w:rsidP="00EF0A1E">
      <w:pPr>
        <w:pStyle w:val="FootnoteText"/>
        <w:spacing w:after="120"/>
      </w:pPr>
      <w:r>
        <w:rPr>
          <w:rStyle w:val="FootnoteReference"/>
        </w:rPr>
        <w:footnoteRef/>
      </w:r>
      <w:r>
        <w:t xml:space="preserve"> UI response to OCC-13, Attachment 1.  There is no information on rates for 211 customers.</w:t>
      </w:r>
    </w:p>
  </w:footnote>
  <w:footnote w:id="58">
    <w:p w14:paraId="059544C4" w14:textId="77777777" w:rsidR="00355526" w:rsidRPr="003869FC" w:rsidRDefault="00355526" w:rsidP="00EF0A1E">
      <w:pPr>
        <w:pStyle w:val="FootnoteText"/>
        <w:spacing w:after="120"/>
      </w:pPr>
      <w:r w:rsidRPr="003869FC">
        <w:rPr>
          <w:rStyle w:val="FootnoteReference"/>
          <w:sz w:val="20"/>
        </w:rPr>
        <w:footnoteRef/>
      </w:r>
      <w:r w:rsidRPr="003869FC">
        <w:t xml:space="preserve"> UI response to OCC-16, Confidential Attachment 2.</w:t>
      </w:r>
    </w:p>
  </w:footnote>
  <w:footnote w:id="59">
    <w:p w14:paraId="4A7BB79E" w14:textId="77777777" w:rsidR="00355526" w:rsidRPr="003869FC" w:rsidRDefault="00355526" w:rsidP="00EF0A1E">
      <w:pPr>
        <w:pStyle w:val="FootnoteText"/>
        <w:spacing w:after="120"/>
      </w:pPr>
      <w:r w:rsidRPr="003869FC">
        <w:rPr>
          <w:rStyle w:val="FootnoteReference"/>
          <w:sz w:val="20"/>
        </w:rPr>
        <w:footnoteRef/>
      </w:r>
      <w:r w:rsidRPr="003869FC">
        <w:t xml:space="preserve"> The source for the</w:t>
      </w:r>
      <w:r>
        <w:t xml:space="preserve"> data </w:t>
      </w:r>
      <w:r w:rsidRPr="003869FC">
        <w:t>in the table is UI response to OCC-16, Confidential Attachment 2.</w:t>
      </w:r>
    </w:p>
  </w:footnote>
  <w:footnote w:id="60">
    <w:p w14:paraId="07400CE2" w14:textId="77777777" w:rsidR="00355526" w:rsidRPr="003869FC" w:rsidRDefault="00355526" w:rsidP="00EF0A1E">
      <w:pPr>
        <w:pStyle w:val="FootnoteText"/>
        <w:spacing w:after="120"/>
      </w:pPr>
      <w:r w:rsidRPr="003869FC">
        <w:rPr>
          <w:rStyle w:val="FootnoteReference"/>
          <w:sz w:val="20"/>
        </w:rPr>
        <w:footnoteRef/>
      </w:r>
      <w:r w:rsidRPr="003869FC">
        <w:t xml:space="preserve"> CL&amp;P’s data response did not provide comparable information (</w:t>
      </w:r>
      <w:r w:rsidRPr="009E154F">
        <w:rPr>
          <w:i/>
        </w:rPr>
        <w:t>i.e.</w:t>
      </w:r>
      <w:r>
        <w:rPr>
          <w:i/>
        </w:rPr>
        <w:t>,</w:t>
      </w:r>
      <w:r w:rsidRPr="003869FC">
        <w:t xml:space="preserve"> by Supplier).  CL&amp;P response to OCC-006.  It might be useful for Supplier</w:t>
      </w:r>
      <w:r>
        <w:t xml:space="preserve"> oversight purposes</w:t>
      </w:r>
      <w:r w:rsidRPr="003869FC">
        <w:t xml:space="preserve"> for PURA to direct CL&amp;P to track comparable information.</w:t>
      </w:r>
    </w:p>
  </w:footnote>
  <w:footnote w:id="61">
    <w:p w14:paraId="3F3ADD78" w14:textId="77777777" w:rsidR="00355526" w:rsidRDefault="00355526" w:rsidP="00A005B7">
      <w:pPr>
        <w:pStyle w:val="FootnoteText"/>
      </w:pPr>
      <w:r>
        <w:rPr>
          <w:rStyle w:val="FootnoteReference"/>
        </w:rPr>
        <w:footnoteRef/>
      </w:r>
      <w:r>
        <w:t xml:space="preserve"> Source: UI response to OCC-013, Confidential Attachment 2.  The * denotes the fact that there is no weighted average because UI does not have the rates for those Suppliers and customers.</w:t>
      </w:r>
    </w:p>
  </w:footnote>
  <w:footnote w:id="62">
    <w:p w14:paraId="504F143E" w14:textId="77777777" w:rsidR="00355526" w:rsidRDefault="00355526" w:rsidP="00A005B7">
      <w:pPr>
        <w:pStyle w:val="FootnoteText"/>
      </w:pPr>
      <w:r>
        <w:rPr>
          <w:rStyle w:val="FootnoteReference"/>
        </w:rPr>
        <w:footnoteRef/>
      </w:r>
      <w:r>
        <w:t xml:space="preserve"> </w:t>
      </w:r>
      <w:r w:rsidRPr="00B923D6">
        <w:rPr>
          <w:i/>
        </w:rPr>
        <w:t>See, e.g.</w:t>
      </w:r>
      <w:r>
        <w:t xml:space="preserve">,   </w:t>
      </w:r>
      <w:r w:rsidRPr="00AF278B">
        <w:t>http://www.energizect.com/compare-energy-suppliers/compare-supplier-options</w:t>
      </w:r>
      <w:r>
        <w:t>.</w:t>
      </w:r>
    </w:p>
  </w:footnote>
  <w:footnote w:id="63">
    <w:p w14:paraId="04C86B97" w14:textId="77777777" w:rsidR="00355526" w:rsidRDefault="00355526">
      <w:pPr>
        <w:pStyle w:val="FootnoteText"/>
      </w:pPr>
      <w:r>
        <w:rPr>
          <w:rStyle w:val="FootnoteReference"/>
        </w:rPr>
        <w:footnoteRef/>
      </w:r>
      <w:r>
        <w:t xml:space="preserve"> Ten customers pay seven different rates that are lower than 6.3 cents.  We consider these to be outliers.  The total number of customers for which we examined pricing was over 440,000.  </w:t>
      </w:r>
    </w:p>
  </w:footnote>
  <w:footnote w:id="64">
    <w:p w14:paraId="17D423E6" w14:textId="77777777" w:rsidR="00355526" w:rsidRDefault="00355526" w:rsidP="00A005B7">
      <w:pPr>
        <w:pStyle w:val="FootnoteText"/>
      </w:pPr>
      <w:r>
        <w:rPr>
          <w:rStyle w:val="FootnoteReference"/>
        </w:rPr>
        <w:footnoteRef/>
      </w:r>
      <w:r>
        <w:t xml:space="preserve"> The number of customers using alternative supplies in CL&amp;P’s territory (449,027) and UI’s territory (137,021) is multiplied by the monthly dollar difference amounts.  </w:t>
      </w:r>
    </w:p>
  </w:footnote>
  <w:footnote w:id="65">
    <w:p w14:paraId="4071F031" w14:textId="77777777" w:rsidR="00355526" w:rsidRDefault="00355526">
      <w:pPr>
        <w:pStyle w:val="FootnoteText"/>
      </w:pPr>
      <w:r>
        <w:rPr>
          <w:rStyle w:val="FootnoteReference"/>
        </w:rPr>
        <w:footnoteRef/>
      </w:r>
      <w:r>
        <w:t xml:space="preserve"> This table includes Suppliers with over 350 customers.  </w:t>
      </w:r>
    </w:p>
  </w:footnote>
  <w:footnote w:id="66">
    <w:p w14:paraId="6E186622" w14:textId="77777777" w:rsidR="00355526" w:rsidRDefault="00355526">
      <w:pPr>
        <w:pStyle w:val="FootnoteText"/>
      </w:pPr>
      <w:r>
        <w:rPr>
          <w:rStyle w:val="FootnoteReference"/>
        </w:rPr>
        <w:footnoteRef/>
      </w:r>
      <w:r>
        <w:t xml:space="preserve"> &lt;</w:t>
      </w:r>
      <w:hyperlink r:id="rId6" w:history="1">
        <w:r w:rsidRPr="003E7416">
          <w:rPr>
            <w:rStyle w:val="Hyperlink"/>
          </w:rPr>
          <w:t>http://www.energychoicematters.com/stories/20120718a.html</w:t>
        </w:r>
      </w:hyperlink>
      <w:r>
        <w:rPr>
          <w:rStyle w:val="Hyperlink"/>
        </w:rPr>
        <w:t>&gt;</w:t>
      </w:r>
    </w:p>
    <w:p w14:paraId="39131A7E" w14:textId="77777777" w:rsidR="00355526" w:rsidRDefault="00355526">
      <w:pPr>
        <w:pStyle w:val="FootnoteText"/>
      </w:pPr>
    </w:p>
  </w:footnote>
  <w:footnote w:id="67">
    <w:p w14:paraId="2CEC1C3B" w14:textId="77777777" w:rsidR="00355526" w:rsidRDefault="00355526">
      <w:pPr>
        <w:pStyle w:val="FootnoteText"/>
      </w:pPr>
      <w:r>
        <w:rPr>
          <w:rStyle w:val="FootnoteReference"/>
        </w:rPr>
        <w:footnoteRef/>
      </w:r>
      <w:r>
        <w:t xml:space="preserve"> Available at </w:t>
      </w:r>
      <w:hyperlink r:id="rId7" w:history="1">
        <w:r w:rsidRPr="00502CDE">
          <w:rPr>
            <w:rStyle w:val="Hyperlink"/>
          </w:rPr>
          <w:t>www.energizect.com</w:t>
        </w:r>
      </w:hyperlink>
      <w:r>
        <w:t xml:space="preserve">. </w:t>
      </w:r>
    </w:p>
  </w:footnote>
  <w:footnote w:id="68">
    <w:p w14:paraId="7903CFB5" w14:textId="77777777" w:rsidR="00355526" w:rsidRDefault="00355526">
      <w:pPr>
        <w:pStyle w:val="FootnoteText"/>
      </w:pPr>
      <w:r>
        <w:rPr>
          <w:rStyle w:val="FootnoteReference"/>
        </w:rPr>
        <w:footnoteRef/>
      </w:r>
      <w:r>
        <w:t xml:space="preserve"> Conn. Gen. Stat. § 16-245o(i)-(j), emphasis (underlining) supplied.  Under Section 16-241, the Authority can impose a civil penalty of up to $10,000 per violation, provided further that “[e]</w:t>
      </w:r>
      <w:r w:rsidRPr="00275AF2">
        <w:t>ach distinct violation of any such provision of this title, order or regulation shall be a separate offense and, in case of a continued violation, each day thereof shall be deemed a separate offense.</w:t>
      </w:r>
      <w:r>
        <w:t xml:space="preserve">”  </w:t>
      </w:r>
    </w:p>
  </w:footnote>
  <w:footnote w:id="69">
    <w:p w14:paraId="22444F83" w14:textId="77777777" w:rsidR="00355526" w:rsidRDefault="00355526">
      <w:pPr>
        <w:pStyle w:val="FootnoteText"/>
      </w:pPr>
      <w:r>
        <w:rPr>
          <w:rStyle w:val="FootnoteReference"/>
        </w:rPr>
        <w:footnoteRef/>
      </w:r>
      <w:r>
        <w:t xml:space="preserve"> </w:t>
      </w:r>
      <w:r w:rsidRPr="006D1CA0">
        <w:rPr>
          <w:i/>
        </w:rPr>
        <w:t>See</w:t>
      </w:r>
      <w:r>
        <w:t xml:space="preserve"> Table 2, above, which summarizes the complaint rate for all Suppliers (including those Suppliers for which there were no complaints).   </w:t>
      </w:r>
    </w:p>
  </w:footnote>
  <w:footnote w:id="70">
    <w:p w14:paraId="31AB18B3" w14:textId="77777777" w:rsidR="00355526" w:rsidRPr="001C30BA" w:rsidRDefault="00355526" w:rsidP="005E3E68">
      <w:pPr>
        <w:pStyle w:val="FootnoteText"/>
      </w:pPr>
      <w:r>
        <w:rPr>
          <w:rStyle w:val="FootnoteReference"/>
        </w:rPr>
        <w:footnoteRef/>
      </w:r>
      <w:r>
        <w:t xml:space="preserve"> </w:t>
      </w:r>
      <w:r w:rsidRPr="006D1CA0">
        <w:rPr>
          <w:i/>
        </w:rPr>
        <w:t>DPUC Review of the Current Status of the Competitive Supplier and Aggregator Market in Connecticut and Marketing Practices and Conduct of Participants in that Market</w:t>
      </w:r>
      <w:r w:rsidRPr="001C30BA">
        <w:t xml:space="preserve">, </w:t>
      </w:r>
      <w:r w:rsidRPr="006D1CA0">
        <w:t xml:space="preserve">Former DPUC </w:t>
      </w:r>
      <w:r w:rsidRPr="001C30BA">
        <w:t>Docket No. 10-06-24, Decision,</w:t>
      </w:r>
    </w:p>
    <w:p w14:paraId="0BDF6924" w14:textId="77777777" w:rsidR="00355526" w:rsidRDefault="00355526" w:rsidP="00E907B0">
      <w:pPr>
        <w:pStyle w:val="FootnoteText"/>
      </w:pPr>
      <w:r w:rsidRPr="007C7898">
        <w:t>Mar</w:t>
      </w:r>
      <w:r w:rsidRPr="006D1CA0">
        <w:t>.</w:t>
      </w:r>
      <w:r w:rsidRPr="007C7898">
        <w:t xml:space="preserve"> 16, 2011 (Appendix A, “Guidelines for Marketing and Sales Practices for Electric Suppliers and Aggregators”).  This is how the DPUC characterizes these “guidelines” in the ordering clauses to that decision:  “Specifically, the Department instituted a ‘G</w:t>
      </w:r>
      <w:r w:rsidRPr="001C30BA">
        <w:t xml:space="preserve">uidelines for Marketing and Sales Practices for Electric Suppliers and Aggregators’ to provide better guidance to market participants, and improved safeguards for consumers.  The Guidelines clarify rules on prohibited conduct such as the unauthorized transfer of customer accounts, deceptive sales and marketing practices, as well as detailing requirements for customer service enrollment such as a written contract or receipt.” </w:t>
      </w:r>
      <w:r w:rsidRPr="00885645">
        <w:t xml:space="preserve"> </w:t>
      </w:r>
      <w:r w:rsidRPr="001C30BA">
        <w:rPr>
          <w:i/>
        </w:rPr>
        <w:t>Id.</w:t>
      </w:r>
      <w:r w:rsidRPr="007C7898">
        <w:t xml:space="preserve"> at 36.</w:t>
      </w:r>
      <w:r>
        <w:t xml:space="preserve">  </w:t>
      </w:r>
    </w:p>
  </w:footnote>
  <w:footnote w:id="71">
    <w:p w14:paraId="14D142F4" w14:textId="77777777" w:rsidR="00355526" w:rsidRDefault="00355526">
      <w:pPr>
        <w:pStyle w:val="FootnoteText"/>
      </w:pPr>
      <w:r>
        <w:rPr>
          <w:rStyle w:val="FootnoteReference"/>
        </w:rPr>
        <w:footnoteRef/>
      </w:r>
      <w:r>
        <w:t xml:space="preserve"> PURA also has broad general authority to “</w:t>
      </w:r>
      <w:r w:rsidRPr="00556812">
        <w:t>adopt regulations, in accordance with the provisions of chapter 54, to include, but not be limited to, abusive switching practices, solicitations and renewals by electric</w:t>
      </w:r>
      <w:r>
        <w:t xml:space="preserve"> Supplier</w:t>
      </w:r>
      <w:r w:rsidRPr="00556812">
        <w:t>s.</w:t>
      </w:r>
      <w:r>
        <w:t>” Conn. Gen. Stat. section 16-245o(k).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BF1D" w14:textId="77777777" w:rsidR="00355526" w:rsidRDefault="00355526">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4FD02" w14:textId="77777777" w:rsidR="00355526" w:rsidRDefault="00355526" w:rsidP="00CB48F1">
    <w:pPr>
      <w:jc w:val="right"/>
    </w:pPr>
    <w:r>
      <w:rPr>
        <w:lang w:val="en-CA"/>
      </w:rPr>
      <w:t>Testimony of Susan M. Baldwin and Helen E. Golding</w:t>
    </w:r>
  </w:p>
  <w:p w14:paraId="0AEB33D6" w14:textId="77777777" w:rsidR="00355526" w:rsidRDefault="00355526" w:rsidP="00CB48F1">
    <w:pPr>
      <w:spacing w:line="240" w:lineRule="exact"/>
      <w:jc w:val="right"/>
      <w:rPr>
        <w:szCs w:val="20"/>
      </w:rPr>
    </w:pPr>
    <w:r>
      <w:rPr>
        <w:szCs w:val="20"/>
      </w:rPr>
      <w:t>CT PURA Docket No. 13-07-18</w:t>
    </w:r>
  </w:p>
  <w:p w14:paraId="7C3040C0" w14:textId="77777777" w:rsidR="00355526" w:rsidRDefault="00355526" w:rsidP="00CB48F1">
    <w:pPr>
      <w:spacing w:line="240" w:lineRule="exac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D953" w14:textId="77777777" w:rsidR="00355526" w:rsidRDefault="00355526" w:rsidP="00DC2B0C">
    <w:pPr>
      <w:jc w:val="right"/>
    </w:pPr>
    <w:r>
      <w:rPr>
        <w:lang w:val="en-CA"/>
      </w:rPr>
      <w:t>Reply Testimony of Susan M. Baldwin</w:t>
    </w:r>
  </w:p>
  <w:p w14:paraId="5FBA098F" w14:textId="77777777" w:rsidR="00355526" w:rsidRDefault="00355526" w:rsidP="00DC2B0C">
    <w:pPr>
      <w:spacing w:line="240" w:lineRule="exact"/>
      <w:jc w:val="right"/>
    </w:pPr>
    <w:r>
      <w:t>NJ BPU Docket Nos. TX06010057/TT97120889</w:t>
    </w:r>
  </w:p>
  <w:p w14:paraId="7F0DACEE" w14:textId="77777777" w:rsidR="00355526" w:rsidRDefault="00355526">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DE80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A44E6BE"/>
    <w:lvl w:ilvl="0">
      <w:numFmt w:val="bullet"/>
      <w:lvlText w:val="*"/>
      <w:lvlJc w:val="left"/>
    </w:lvl>
  </w:abstractNum>
  <w:abstractNum w:abstractNumId="2">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nsid w:val="023B3404"/>
    <w:multiLevelType w:val="hybridMultilevel"/>
    <w:tmpl w:val="201C4386"/>
    <w:lvl w:ilvl="0" w:tplc="469AE7B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04944885"/>
    <w:multiLevelType w:val="hybridMultilevel"/>
    <w:tmpl w:val="8F1A5D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5D60A2"/>
    <w:multiLevelType w:val="hybridMultilevel"/>
    <w:tmpl w:val="4E6E6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A1043"/>
    <w:multiLevelType w:val="hybridMultilevel"/>
    <w:tmpl w:val="3FE6D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7F5B13"/>
    <w:multiLevelType w:val="hybridMultilevel"/>
    <w:tmpl w:val="B7DCFE68"/>
    <w:lvl w:ilvl="0" w:tplc="76F65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993129"/>
    <w:multiLevelType w:val="hybridMultilevel"/>
    <w:tmpl w:val="0ED8B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1F39EF"/>
    <w:multiLevelType w:val="hybridMultilevel"/>
    <w:tmpl w:val="9470F8D4"/>
    <w:lvl w:ilvl="0" w:tplc="14C89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6C1FD5"/>
    <w:multiLevelType w:val="hybridMultilevel"/>
    <w:tmpl w:val="D520B5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3AF474F"/>
    <w:multiLevelType w:val="hybridMultilevel"/>
    <w:tmpl w:val="A1D2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3B535C"/>
    <w:multiLevelType w:val="hybridMultilevel"/>
    <w:tmpl w:val="ACA27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814572"/>
    <w:multiLevelType w:val="hybridMultilevel"/>
    <w:tmpl w:val="E6B2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35F7E"/>
    <w:multiLevelType w:val="hybridMultilevel"/>
    <w:tmpl w:val="A782C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4F5A74"/>
    <w:multiLevelType w:val="hybridMultilevel"/>
    <w:tmpl w:val="FA3E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616E61"/>
    <w:multiLevelType w:val="hybridMultilevel"/>
    <w:tmpl w:val="4F2CAC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7232D79"/>
    <w:multiLevelType w:val="hybridMultilevel"/>
    <w:tmpl w:val="6264EC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27B33BEA"/>
    <w:multiLevelType w:val="hybridMultilevel"/>
    <w:tmpl w:val="994C84FE"/>
    <w:lvl w:ilvl="0" w:tplc="F310762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294731C2"/>
    <w:multiLevelType w:val="hybridMultilevel"/>
    <w:tmpl w:val="09AEB27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485939"/>
    <w:multiLevelType w:val="hybridMultilevel"/>
    <w:tmpl w:val="437A0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D927143"/>
    <w:multiLevelType w:val="hybridMultilevel"/>
    <w:tmpl w:val="DE482C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672771F"/>
    <w:multiLevelType w:val="hybridMultilevel"/>
    <w:tmpl w:val="A072E728"/>
    <w:lvl w:ilvl="0" w:tplc="853CBA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F08C9"/>
    <w:multiLevelType w:val="hybridMultilevel"/>
    <w:tmpl w:val="C1AC8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F2043"/>
    <w:multiLevelType w:val="hybridMultilevel"/>
    <w:tmpl w:val="D39C99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DA517FC"/>
    <w:multiLevelType w:val="hybridMultilevel"/>
    <w:tmpl w:val="CEEA8EEC"/>
    <w:lvl w:ilvl="0" w:tplc="5B2E467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F17C87"/>
    <w:multiLevelType w:val="hybridMultilevel"/>
    <w:tmpl w:val="C8A60732"/>
    <w:lvl w:ilvl="0" w:tplc="BD6ECE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7D7865"/>
    <w:multiLevelType w:val="hybridMultilevel"/>
    <w:tmpl w:val="335CA0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3EDF3314"/>
    <w:multiLevelType w:val="hybridMultilevel"/>
    <w:tmpl w:val="76EA6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
    <w:nsid w:val="3F0D041C"/>
    <w:multiLevelType w:val="hybridMultilevel"/>
    <w:tmpl w:val="5B1CCE28"/>
    <w:name w:val="12"/>
    <w:lvl w:ilvl="0" w:tplc="BC0EF8B0">
      <w:start w:val="1"/>
      <w:numFmt w:val="decimal"/>
      <w:lvlText w:val="%1."/>
      <w:lvlJc w:val="left"/>
      <w:pPr>
        <w:tabs>
          <w:tab w:val="num" w:pos="720"/>
        </w:tabs>
        <w:ind w:left="0" w:firstLine="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75EEBFA0">
      <w:start w:val="7"/>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706093"/>
    <w:multiLevelType w:val="hybridMultilevel"/>
    <w:tmpl w:val="4C0AB3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nsid w:val="437F346C"/>
    <w:multiLevelType w:val="hybridMultilevel"/>
    <w:tmpl w:val="E950202A"/>
    <w:lvl w:ilvl="0" w:tplc="90D6C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1D5D8C"/>
    <w:multiLevelType w:val="hybridMultilevel"/>
    <w:tmpl w:val="F620B27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802FB1"/>
    <w:multiLevelType w:val="hybridMultilevel"/>
    <w:tmpl w:val="9EB873B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
    <w:nsid w:val="490468EC"/>
    <w:multiLevelType w:val="hybridMultilevel"/>
    <w:tmpl w:val="DD745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9BB40B6"/>
    <w:multiLevelType w:val="hybridMultilevel"/>
    <w:tmpl w:val="2558ED06"/>
    <w:lvl w:ilvl="0" w:tplc="C622AA58">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9D3609C"/>
    <w:multiLevelType w:val="hybridMultilevel"/>
    <w:tmpl w:val="EBE2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073F0D"/>
    <w:multiLevelType w:val="hybridMultilevel"/>
    <w:tmpl w:val="1C2291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8">
    <w:nsid w:val="4F442703"/>
    <w:multiLevelType w:val="hybridMultilevel"/>
    <w:tmpl w:val="0232A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C46C3D"/>
    <w:multiLevelType w:val="hybridMultilevel"/>
    <w:tmpl w:val="38BE47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5DF0C08"/>
    <w:multiLevelType w:val="hybridMultilevel"/>
    <w:tmpl w:val="78888D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BAF17E9"/>
    <w:multiLevelType w:val="hybridMultilevel"/>
    <w:tmpl w:val="F3744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610461"/>
    <w:multiLevelType w:val="hybridMultilevel"/>
    <w:tmpl w:val="5FE2D5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46B3C2A"/>
    <w:multiLevelType w:val="hybridMultilevel"/>
    <w:tmpl w:val="CC8801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5466896"/>
    <w:multiLevelType w:val="hybridMultilevel"/>
    <w:tmpl w:val="1560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8053D5"/>
    <w:multiLevelType w:val="hybridMultilevel"/>
    <w:tmpl w:val="AF5021A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6">
    <w:nsid w:val="69EE2022"/>
    <w:multiLevelType w:val="hybridMultilevel"/>
    <w:tmpl w:val="0204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DE459C"/>
    <w:multiLevelType w:val="hybridMultilevel"/>
    <w:tmpl w:val="EEA6F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EA68AC"/>
    <w:multiLevelType w:val="hybridMultilevel"/>
    <w:tmpl w:val="CBDAFEC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9">
    <w:nsid w:val="7F0D5B72"/>
    <w:multiLevelType w:val="hybridMultilevel"/>
    <w:tmpl w:val="98EC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1"/>
  </w:num>
  <w:num w:numId="3">
    <w:abstractNumId w:val="40"/>
  </w:num>
  <w:num w:numId="4">
    <w:abstractNumId w:val="16"/>
  </w:num>
  <w:num w:numId="5">
    <w:abstractNumId w:val="35"/>
  </w:num>
  <w:num w:numId="6">
    <w:abstractNumId w:val="10"/>
  </w:num>
  <w:num w:numId="7">
    <w:abstractNumId w:val="27"/>
  </w:num>
  <w:num w:numId="8">
    <w:abstractNumId w:val="4"/>
  </w:num>
  <w:num w:numId="9">
    <w:abstractNumId w:val="24"/>
  </w:num>
  <w:num w:numId="10">
    <w:abstractNumId w:val="42"/>
  </w:num>
  <w:num w:numId="11">
    <w:abstractNumId w:val="29"/>
  </w:num>
  <w:num w:numId="12">
    <w:abstractNumId w:val="39"/>
  </w:num>
  <w:num w:numId="13">
    <w:abstractNumId w:val="22"/>
  </w:num>
  <w:num w:numId="14">
    <w:abstractNumId w:val="18"/>
  </w:num>
  <w:num w:numId="15">
    <w:abstractNumId w:val="44"/>
  </w:num>
  <w:num w:numId="16">
    <w:abstractNumId w:val="0"/>
  </w:num>
  <w:num w:numId="17">
    <w:abstractNumId w:val="8"/>
  </w:num>
  <w:num w:numId="18">
    <w:abstractNumId w:val="8"/>
  </w:num>
  <w:num w:numId="19">
    <w:abstractNumId w:val="33"/>
  </w:num>
  <w:num w:numId="20">
    <w:abstractNumId w:val="37"/>
  </w:num>
  <w:num w:numId="21">
    <w:abstractNumId w:val="45"/>
  </w:num>
  <w:num w:numId="22">
    <w:abstractNumId w:val="30"/>
  </w:num>
  <w:num w:numId="23">
    <w:abstractNumId w:val="14"/>
  </w:num>
  <w:num w:numId="24">
    <w:abstractNumId w:val="19"/>
  </w:num>
  <w:num w:numId="25">
    <w:abstractNumId w:val="9"/>
  </w:num>
  <w:num w:numId="26">
    <w:abstractNumId w:val="20"/>
  </w:num>
  <w:num w:numId="27">
    <w:abstractNumId w:val="11"/>
  </w:num>
  <w:num w:numId="28">
    <w:abstractNumId w:val="6"/>
  </w:num>
  <w:num w:numId="29">
    <w:abstractNumId w:val="28"/>
  </w:num>
  <w:num w:numId="30">
    <w:abstractNumId w:val="32"/>
  </w:num>
  <w:num w:numId="31">
    <w:abstractNumId w:val="12"/>
  </w:num>
  <w:num w:numId="32">
    <w:abstractNumId w:val="17"/>
  </w:num>
  <w:num w:numId="33">
    <w:abstractNumId w:val="47"/>
  </w:num>
  <w:num w:numId="34">
    <w:abstractNumId w:val="13"/>
  </w:num>
  <w:num w:numId="35">
    <w:abstractNumId w:val="7"/>
  </w:num>
  <w:num w:numId="36">
    <w:abstractNumId w:val="49"/>
  </w:num>
  <w:num w:numId="37">
    <w:abstractNumId w:val="46"/>
  </w:num>
  <w:num w:numId="38">
    <w:abstractNumId w:val="25"/>
  </w:num>
  <w:num w:numId="39">
    <w:abstractNumId w:val="26"/>
  </w:num>
  <w:num w:numId="40">
    <w:abstractNumId w:val="1"/>
    <w:lvlOverride w:ilvl="0">
      <w:lvl w:ilvl="0">
        <w:numFmt w:val="bullet"/>
        <w:lvlText w:val=""/>
        <w:legacy w:legacy="1" w:legacySpace="0" w:legacyIndent="0"/>
        <w:lvlJc w:val="left"/>
        <w:rPr>
          <w:rFonts w:ascii="Symbol" w:hAnsi="Symbol" w:hint="default"/>
          <w:sz w:val="22"/>
        </w:rPr>
      </w:lvl>
    </w:lvlOverride>
  </w:num>
  <w:num w:numId="41">
    <w:abstractNumId w:val="23"/>
  </w:num>
  <w:num w:numId="42">
    <w:abstractNumId w:val="5"/>
  </w:num>
  <w:num w:numId="43">
    <w:abstractNumId w:val="48"/>
  </w:num>
  <w:num w:numId="44">
    <w:abstractNumId w:val="3"/>
  </w:num>
  <w:num w:numId="45">
    <w:abstractNumId w:val="34"/>
  </w:num>
  <w:num w:numId="46">
    <w:abstractNumId w:val="41"/>
  </w:num>
  <w:num w:numId="47">
    <w:abstractNumId w:val="38"/>
  </w:num>
  <w:num w:numId="48">
    <w:abstractNumId w:val="36"/>
  </w:num>
  <w:num w:numId="49">
    <w:abstractNumId w:val="1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E3"/>
    <w:rsid w:val="00000223"/>
    <w:rsid w:val="000007A7"/>
    <w:rsid w:val="0000088C"/>
    <w:rsid w:val="00001DAB"/>
    <w:rsid w:val="000029C9"/>
    <w:rsid w:val="000029E9"/>
    <w:rsid w:val="000034B7"/>
    <w:rsid w:val="00003550"/>
    <w:rsid w:val="00004825"/>
    <w:rsid w:val="00005953"/>
    <w:rsid w:val="00005A2D"/>
    <w:rsid w:val="00005AB2"/>
    <w:rsid w:val="00007C58"/>
    <w:rsid w:val="00011CF4"/>
    <w:rsid w:val="00014150"/>
    <w:rsid w:val="000141AC"/>
    <w:rsid w:val="000144DD"/>
    <w:rsid w:val="00016345"/>
    <w:rsid w:val="000175E9"/>
    <w:rsid w:val="00017F4A"/>
    <w:rsid w:val="000207EC"/>
    <w:rsid w:val="000208F7"/>
    <w:rsid w:val="00021153"/>
    <w:rsid w:val="00021D3D"/>
    <w:rsid w:val="00022383"/>
    <w:rsid w:val="000226D5"/>
    <w:rsid w:val="0002291B"/>
    <w:rsid w:val="00025572"/>
    <w:rsid w:val="00025E3A"/>
    <w:rsid w:val="00025F3E"/>
    <w:rsid w:val="00026518"/>
    <w:rsid w:val="00026FA9"/>
    <w:rsid w:val="000277AD"/>
    <w:rsid w:val="0003009B"/>
    <w:rsid w:val="000306F7"/>
    <w:rsid w:val="0003128D"/>
    <w:rsid w:val="000315EA"/>
    <w:rsid w:val="00031C61"/>
    <w:rsid w:val="00035FFE"/>
    <w:rsid w:val="000374EC"/>
    <w:rsid w:val="0003766D"/>
    <w:rsid w:val="00040875"/>
    <w:rsid w:val="00040F65"/>
    <w:rsid w:val="00041DA7"/>
    <w:rsid w:val="00041DFC"/>
    <w:rsid w:val="00043476"/>
    <w:rsid w:val="00043AF5"/>
    <w:rsid w:val="00043F3C"/>
    <w:rsid w:val="0004503C"/>
    <w:rsid w:val="000452C3"/>
    <w:rsid w:val="00045A04"/>
    <w:rsid w:val="00046443"/>
    <w:rsid w:val="0004789A"/>
    <w:rsid w:val="00050329"/>
    <w:rsid w:val="000506ED"/>
    <w:rsid w:val="0005104A"/>
    <w:rsid w:val="00051AB2"/>
    <w:rsid w:val="00051E78"/>
    <w:rsid w:val="00052A42"/>
    <w:rsid w:val="00053BB4"/>
    <w:rsid w:val="00053CE0"/>
    <w:rsid w:val="0005674C"/>
    <w:rsid w:val="0005690B"/>
    <w:rsid w:val="00056967"/>
    <w:rsid w:val="0005718A"/>
    <w:rsid w:val="00057F86"/>
    <w:rsid w:val="00060BF7"/>
    <w:rsid w:val="00060F9F"/>
    <w:rsid w:val="000610D1"/>
    <w:rsid w:val="000613F0"/>
    <w:rsid w:val="000622BE"/>
    <w:rsid w:val="00062613"/>
    <w:rsid w:val="000627C4"/>
    <w:rsid w:val="00062DB5"/>
    <w:rsid w:val="00062F8A"/>
    <w:rsid w:val="0006392F"/>
    <w:rsid w:val="00063CC3"/>
    <w:rsid w:val="00064376"/>
    <w:rsid w:val="0006466F"/>
    <w:rsid w:val="00064A7A"/>
    <w:rsid w:val="00066DBA"/>
    <w:rsid w:val="0007011B"/>
    <w:rsid w:val="00070B84"/>
    <w:rsid w:val="00070E5E"/>
    <w:rsid w:val="00072AE4"/>
    <w:rsid w:val="000732F4"/>
    <w:rsid w:val="0007380D"/>
    <w:rsid w:val="00074333"/>
    <w:rsid w:val="0007438A"/>
    <w:rsid w:val="000746D2"/>
    <w:rsid w:val="000759C9"/>
    <w:rsid w:val="0007603A"/>
    <w:rsid w:val="00076195"/>
    <w:rsid w:val="000761DB"/>
    <w:rsid w:val="000767C4"/>
    <w:rsid w:val="00076895"/>
    <w:rsid w:val="00076A0E"/>
    <w:rsid w:val="00076F13"/>
    <w:rsid w:val="0008087B"/>
    <w:rsid w:val="00080EB3"/>
    <w:rsid w:val="00081512"/>
    <w:rsid w:val="000816F0"/>
    <w:rsid w:val="0008267F"/>
    <w:rsid w:val="000829DA"/>
    <w:rsid w:val="000846AB"/>
    <w:rsid w:val="00084E26"/>
    <w:rsid w:val="0008695C"/>
    <w:rsid w:val="00090926"/>
    <w:rsid w:val="00090AF3"/>
    <w:rsid w:val="0009161B"/>
    <w:rsid w:val="000919C7"/>
    <w:rsid w:val="00091F18"/>
    <w:rsid w:val="00091F56"/>
    <w:rsid w:val="00093D4A"/>
    <w:rsid w:val="0009426F"/>
    <w:rsid w:val="000946EB"/>
    <w:rsid w:val="00096C11"/>
    <w:rsid w:val="00097307"/>
    <w:rsid w:val="00097979"/>
    <w:rsid w:val="00097C23"/>
    <w:rsid w:val="000A11D2"/>
    <w:rsid w:val="000A180E"/>
    <w:rsid w:val="000A2584"/>
    <w:rsid w:val="000A37B9"/>
    <w:rsid w:val="000A48BB"/>
    <w:rsid w:val="000A5ECC"/>
    <w:rsid w:val="000A6019"/>
    <w:rsid w:val="000A6983"/>
    <w:rsid w:val="000A6CB4"/>
    <w:rsid w:val="000A7369"/>
    <w:rsid w:val="000A7E84"/>
    <w:rsid w:val="000B03D9"/>
    <w:rsid w:val="000B0E71"/>
    <w:rsid w:val="000B0F7A"/>
    <w:rsid w:val="000B2473"/>
    <w:rsid w:val="000B2704"/>
    <w:rsid w:val="000B2941"/>
    <w:rsid w:val="000B3950"/>
    <w:rsid w:val="000B499A"/>
    <w:rsid w:val="000B4D34"/>
    <w:rsid w:val="000B616F"/>
    <w:rsid w:val="000B6AD0"/>
    <w:rsid w:val="000B76B7"/>
    <w:rsid w:val="000B7C26"/>
    <w:rsid w:val="000C154C"/>
    <w:rsid w:val="000C2901"/>
    <w:rsid w:val="000C2FC8"/>
    <w:rsid w:val="000C3953"/>
    <w:rsid w:val="000C4767"/>
    <w:rsid w:val="000C4A48"/>
    <w:rsid w:val="000C5F07"/>
    <w:rsid w:val="000C683E"/>
    <w:rsid w:val="000C6FAC"/>
    <w:rsid w:val="000C7714"/>
    <w:rsid w:val="000C78C7"/>
    <w:rsid w:val="000C7B96"/>
    <w:rsid w:val="000D1E84"/>
    <w:rsid w:val="000D2230"/>
    <w:rsid w:val="000D4C42"/>
    <w:rsid w:val="000D5168"/>
    <w:rsid w:val="000D5463"/>
    <w:rsid w:val="000D7952"/>
    <w:rsid w:val="000E01B9"/>
    <w:rsid w:val="000E10D3"/>
    <w:rsid w:val="000E11F3"/>
    <w:rsid w:val="000E16F1"/>
    <w:rsid w:val="000E1E4E"/>
    <w:rsid w:val="000E3C48"/>
    <w:rsid w:val="000E513B"/>
    <w:rsid w:val="000E52CF"/>
    <w:rsid w:val="000E56F1"/>
    <w:rsid w:val="000E5AA3"/>
    <w:rsid w:val="000E5E16"/>
    <w:rsid w:val="000E7396"/>
    <w:rsid w:val="000F092D"/>
    <w:rsid w:val="000F3AB3"/>
    <w:rsid w:val="000F3E93"/>
    <w:rsid w:val="000F57E1"/>
    <w:rsid w:val="000F5CE5"/>
    <w:rsid w:val="000F5E17"/>
    <w:rsid w:val="000F73C0"/>
    <w:rsid w:val="0010079A"/>
    <w:rsid w:val="00101CBD"/>
    <w:rsid w:val="001026EA"/>
    <w:rsid w:val="00103969"/>
    <w:rsid w:val="001046A3"/>
    <w:rsid w:val="001054E9"/>
    <w:rsid w:val="00105DD2"/>
    <w:rsid w:val="001074D6"/>
    <w:rsid w:val="001122D5"/>
    <w:rsid w:val="001136D6"/>
    <w:rsid w:val="001139B9"/>
    <w:rsid w:val="00113FC9"/>
    <w:rsid w:val="00114134"/>
    <w:rsid w:val="001141B0"/>
    <w:rsid w:val="00116835"/>
    <w:rsid w:val="0011709A"/>
    <w:rsid w:val="00120022"/>
    <w:rsid w:val="00124002"/>
    <w:rsid w:val="00125D6C"/>
    <w:rsid w:val="001264A8"/>
    <w:rsid w:val="0013063F"/>
    <w:rsid w:val="00130E96"/>
    <w:rsid w:val="001319B2"/>
    <w:rsid w:val="00132452"/>
    <w:rsid w:val="0013257D"/>
    <w:rsid w:val="00132962"/>
    <w:rsid w:val="00132A82"/>
    <w:rsid w:val="00133815"/>
    <w:rsid w:val="001342D6"/>
    <w:rsid w:val="00134435"/>
    <w:rsid w:val="0013447E"/>
    <w:rsid w:val="00134650"/>
    <w:rsid w:val="00134D9A"/>
    <w:rsid w:val="001356D3"/>
    <w:rsid w:val="00137F8B"/>
    <w:rsid w:val="00141DC4"/>
    <w:rsid w:val="001426DD"/>
    <w:rsid w:val="00144DDD"/>
    <w:rsid w:val="0014537B"/>
    <w:rsid w:val="00146520"/>
    <w:rsid w:val="001469B9"/>
    <w:rsid w:val="00146C27"/>
    <w:rsid w:val="00150996"/>
    <w:rsid w:val="00150B1A"/>
    <w:rsid w:val="0015153E"/>
    <w:rsid w:val="00152E34"/>
    <w:rsid w:val="00152FB6"/>
    <w:rsid w:val="001558F1"/>
    <w:rsid w:val="00155C8F"/>
    <w:rsid w:val="00155CD7"/>
    <w:rsid w:val="00156921"/>
    <w:rsid w:val="001570C3"/>
    <w:rsid w:val="00157AB3"/>
    <w:rsid w:val="00157C92"/>
    <w:rsid w:val="001609F0"/>
    <w:rsid w:val="00161A4B"/>
    <w:rsid w:val="00162117"/>
    <w:rsid w:val="00162DD5"/>
    <w:rsid w:val="001631D3"/>
    <w:rsid w:val="00163767"/>
    <w:rsid w:val="00163A7B"/>
    <w:rsid w:val="00167073"/>
    <w:rsid w:val="00167107"/>
    <w:rsid w:val="0016795E"/>
    <w:rsid w:val="00170046"/>
    <w:rsid w:val="00170098"/>
    <w:rsid w:val="00174290"/>
    <w:rsid w:val="001772C6"/>
    <w:rsid w:val="001779DA"/>
    <w:rsid w:val="00177D83"/>
    <w:rsid w:val="00180871"/>
    <w:rsid w:val="001815AA"/>
    <w:rsid w:val="00181E7D"/>
    <w:rsid w:val="0018293D"/>
    <w:rsid w:val="0018297B"/>
    <w:rsid w:val="00183853"/>
    <w:rsid w:val="00183C2B"/>
    <w:rsid w:val="00184EA7"/>
    <w:rsid w:val="00184ECB"/>
    <w:rsid w:val="00184FB8"/>
    <w:rsid w:val="0018520B"/>
    <w:rsid w:val="00185988"/>
    <w:rsid w:val="00186205"/>
    <w:rsid w:val="00186472"/>
    <w:rsid w:val="00186A04"/>
    <w:rsid w:val="001905BE"/>
    <w:rsid w:val="0019076C"/>
    <w:rsid w:val="00190B33"/>
    <w:rsid w:val="00191EDF"/>
    <w:rsid w:val="0019218E"/>
    <w:rsid w:val="001930F2"/>
    <w:rsid w:val="00193D67"/>
    <w:rsid w:val="00194D54"/>
    <w:rsid w:val="00195E24"/>
    <w:rsid w:val="0019626C"/>
    <w:rsid w:val="001A0411"/>
    <w:rsid w:val="001A0E9E"/>
    <w:rsid w:val="001A11B3"/>
    <w:rsid w:val="001A3232"/>
    <w:rsid w:val="001A47E9"/>
    <w:rsid w:val="001A4C19"/>
    <w:rsid w:val="001A67B9"/>
    <w:rsid w:val="001A686F"/>
    <w:rsid w:val="001B005D"/>
    <w:rsid w:val="001B04A9"/>
    <w:rsid w:val="001B0C56"/>
    <w:rsid w:val="001B0DBF"/>
    <w:rsid w:val="001B1F40"/>
    <w:rsid w:val="001B226A"/>
    <w:rsid w:val="001B27F1"/>
    <w:rsid w:val="001B296F"/>
    <w:rsid w:val="001B52BC"/>
    <w:rsid w:val="001B5F47"/>
    <w:rsid w:val="001B64E3"/>
    <w:rsid w:val="001B7038"/>
    <w:rsid w:val="001B75AC"/>
    <w:rsid w:val="001C01B4"/>
    <w:rsid w:val="001C2132"/>
    <w:rsid w:val="001C2874"/>
    <w:rsid w:val="001C2A1C"/>
    <w:rsid w:val="001C2F3B"/>
    <w:rsid w:val="001C30BA"/>
    <w:rsid w:val="001C39FC"/>
    <w:rsid w:val="001C3AB3"/>
    <w:rsid w:val="001C4188"/>
    <w:rsid w:val="001C43F9"/>
    <w:rsid w:val="001C5100"/>
    <w:rsid w:val="001C5281"/>
    <w:rsid w:val="001C5E38"/>
    <w:rsid w:val="001C6EC3"/>
    <w:rsid w:val="001C7A11"/>
    <w:rsid w:val="001D1778"/>
    <w:rsid w:val="001D30CB"/>
    <w:rsid w:val="001D313A"/>
    <w:rsid w:val="001D40A7"/>
    <w:rsid w:val="001D626F"/>
    <w:rsid w:val="001D64C4"/>
    <w:rsid w:val="001D7D54"/>
    <w:rsid w:val="001D7F2A"/>
    <w:rsid w:val="001E2E03"/>
    <w:rsid w:val="001E4212"/>
    <w:rsid w:val="001E49E8"/>
    <w:rsid w:val="001E4A12"/>
    <w:rsid w:val="001E5B71"/>
    <w:rsid w:val="001E7009"/>
    <w:rsid w:val="001E78F7"/>
    <w:rsid w:val="001E7D66"/>
    <w:rsid w:val="001F0D8A"/>
    <w:rsid w:val="001F1B3E"/>
    <w:rsid w:val="001F21A5"/>
    <w:rsid w:val="001F31B1"/>
    <w:rsid w:val="001F462E"/>
    <w:rsid w:val="001F4A41"/>
    <w:rsid w:val="001F6BAA"/>
    <w:rsid w:val="001F77E5"/>
    <w:rsid w:val="002005A0"/>
    <w:rsid w:val="00202D95"/>
    <w:rsid w:val="00203D57"/>
    <w:rsid w:val="00203E5C"/>
    <w:rsid w:val="002040CA"/>
    <w:rsid w:val="002048BB"/>
    <w:rsid w:val="00204FA4"/>
    <w:rsid w:val="00206E97"/>
    <w:rsid w:val="00207535"/>
    <w:rsid w:val="00210869"/>
    <w:rsid w:val="00210C35"/>
    <w:rsid w:val="00212D77"/>
    <w:rsid w:val="00213A2D"/>
    <w:rsid w:val="00214A45"/>
    <w:rsid w:val="00214D09"/>
    <w:rsid w:val="00214D57"/>
    <w:rsid w:val="002157A5"/>
    <w:rsid w:val="00217271"/>
    <w:rsid w:val="00217B58"/>
    <w:rsid w:val="002210E7"/>
    <w:rsid w:val="00223AA6"/>
    <w:rsid w:val="00224AF8"/>
    <w:rsid w:val="0022537A"/>
    <w:rsid w:val="00225F3A"/>
    <w:rsid w:val="002264CE"/>
    <w:rsid w:val="00231A60"/>
    <w:rsid w:val="0023291A"/>
    <w:rsid w:val="002333DB"/>
    <w:rsid w:val="0023380C"/>
    <w:rsid w:val="00233C12"/>
    <w:rsid w:val="00233D05"/>
    <w:rsid w:val="00235161"/>
    <w:rsid w:val="00235510"/>
    <w:rsid w:val="0023576B"/>
    <w:rsid w:val="0023697E"/>
    <w:rsid w:val="002373C3"/>
    <w:rsid w:val="00237C6C"/>
    <w:rsid w:val="002411FD"/>
    <w:rsid w:val="00241ABA"/>
    <w:rsid w:val="00241F60"/>
    <w:rsid w:val="00242DED"/>
    <w:rsid w:val="00243816"/>
    <w:rsid w:val="00243BC4"/>
    <w:rsid w:val="00244655"/>
    <w:rsid w:val="0024498D"/>
    <w:rsid w:val="0024505A"/>
    <w:rsid w:val="00246055"/>
    <w:rsid w:val="002468C7"/>
    <w:rsid w:val="00247B53"/>
    <w:rsid w:val="002508C5"/>
    <w:rsid w:val="00250B2C"/>
    <w:rsid w:val="00250BB1"/>
    <w:rsid w:val="00251993"/>
    <w:rsid w:val="00252F93"/>
    <w:rsid w:val="0025441D"/>
    <w:rsid w:val="00254C06"/>
    <w:rsid w:val="002556C3"/>
    <w:rsid w:val="002557C5"/>
    <w:rsid w:val="002557F7"/>
    <w:rsid w:val="0025619F"/>
    <w:rsid w:val="00256C66"/>
    <w:rsid w:val="00257080"/>
    <w:rsid w:val="00257E5F"/>
    <w:rsid w:val="002607B5"/>
    <w:rsid w:val="00260884"/>
    <w:rsid w:val="00260968"/>
    <w:rsid w:val="00260974"/>
    <w:rsid w:val="00261479"/>
    <w:rsid w:val="002617A3"/>
    <w:rsid w:val="00262102"/>
    <w:rsid w:val="00262530"/>
    <w:rsid w:val="00262EDF"/>
    <w:rsid w:val="00263A89"/>
    <w:rsid w:val="00264586"/>
    <w:rsid w:val="00264C12"/>
    <w:rsid w:val="002656AF"/>
    <w:rsid w:val="002659B1"/>
    <w:rsid w:val="00267926"/>
    <w:rsid w:val="0026799E"/>
    <w:rsid w:val="00267A7F"/>
    <w:rsid w:val="00270275"/>
    <w:rsid w:val="00271268"/>
    <w:rsid w:val="00271555"/>
    <w:rsid w:val="00273153"/>
    <w:rsid w:val="002743FE"/>
    <w:rsid w:val="0027448B"/>
    <w:rsid w:val="00274C2F"/>
    <w:rsid w:val="00275860"/>
    <w:rsid w:val="00275AF2"/>
    <w:rsid w:val="00275CDF"/>
    <w:rsid w:val="0027603E"/>
    <w:rsid w:val="00276E34"/>
    <w:rsid w:val="0027741A"/>
    <w:rsid w:val="00277B59"/>
    <w:rsid w:val="00280EAD"/>
    <w:rsid w:val="00281589"/>
    <w:rsid w:val="002824F8"/>
    <w:rsid w:val="00283108"/>
    <w:rsid w:val="002833DC"/>
    <w:rsid w:val="00284CA4"/>
    <w:rsid w:val="0028573B"/>
    <w:rsid w:val="0028683F"/>
    <w:rsid w:val="00287372"/>
    <w:rsid w:val="00290A9C"/>
    <w:rsid w:val="0029157C"/>
    <w:rsid w:val="00291EC1"/>
    <w:rsid w:val="00292696"/>
    <w:rsid w:val="00292D14"/>
    <w:rsid w:val="00296AD8"/>
    <w:rsid w:val="002A0FC3"/>
    <w:rsid w:val="002A2C14"/>
    <w:rsid w:val="002A2CDB"/>
    <w:rsid w:val="002A3253"/>
    <w:rsid w:val="002A39C8"/>
    <w:rsid w:val="002A3A49"/>
    <w:rsid w:val="002A4339"/>
    <w:rsid w:val="002A556D"/>
    <w:rsid w:val="002A6146"/>
    <w:rsid w:val="002A63E1"/>
    <w:rsid w:val="002A6A5B"/>
    <w:rsid w:val="002A72C6"/>
    <w:rsid w:val="002B1100"/>
    <w:rsid w:val="002B13AD"/>
    <w:rsid w:val="002B1459"/>
    <w:rsid w:val="002B18D9"/>
    <w:rsid w:val="002B1B16"/>
    <w:rsid w:val="002B247A"/>
    <w:rsid w:val="002B2866"/>
    <w:rsid w:val="002B2D0C"/>
    <w:rsid w:val="002B32E3"/>
    <w:rsid w:val="002B4E3D"/>
    <w:rsid w:val="002B4EF4"/>
    <w:rsid w:val="002B516C"/>
    <w:rsid w:val="002B54DE"/>
    <w:rsid w:val="002B578C"/>
    <w:rsid w:val="002B5C21"/>
    <w:rsid w:val="002B5CD0"/>
    <w:rsid w:val="002B76F9"/>
    <w:rsid w:val="002C00B4"/>
    <w:rsid w:val="002C0F49"/>
    <w:rsid w:val="002C1638"/>
    <w:rsid w:val="002C1F6C"/>
    <w:rsid w:val="002C2583"/>
    <w:rsid w:val="002C27E6"/>
    <w:rsid w:val="002C2FFD"/>
    <w:rsid w:val="002C3FD9"/>
    <w:rsid w:val="002C4701"/>
    <w:rsid w:val="002C4EF0"/>
    <w:rsid w:val="002C5396"/>
    <w:rsid w:val="002C5481"/>
    <w:rsid w:val="002C7774"/>
    <w:rsid w:val="002D06FC"/>
    <w:rsid w:val="002D1020"/>
    <w:rsid w:val="002D227D"/>
    <w:rsid w:val="002D2FA2"/>
    <w:rsid w:val="002D3234"/>
    <w:rsid w:val="002D5612"/>
    <w:rsid w:val="002D5897"/>
    <w:rsid w:val="002D6F40"/>
    <w:rsid w:val="002D7197"/>
    <w:rsid w:val="002D760F"/>
    <w:rsid w:val="002D78D4"/>
    <w:rsid w:val="002E007C"/>
    <w:rsid w:val="002E0887"/>
    <w:rsid w:val="002E0A9C"/>
    <w:rsid w:val="002E1DB1"/>
    <w:rsid w:val="002E2025"/>
    <w:rsid w:val="002E2327"/>
    <w:rsid w:val="002E2D32"/>
    <w:rsid w:val="002E3845"/>
    <w:rsid w:val="002E4360"/>
    <w:rsid w:val="002E486E"/>
    <w:rsid w:val="002E6CBC"/>
    <w:rsid w:val="002E7BF8"/>
    <w:rsid w:val="002F0730"/>
    <w:rsid w:val="002F14DD"/>
    <w:rsid w:val="002F2655"/>
    <w:rsid w:val="002F2D28"/>
    <w:rsid w:val="002F2E72"/>
    <w:rsid w:val="002F2E9F"/>
    <w:rsid w:val="002F2F3B"/>
    <w:rsid w:val="002F35D2"/>
    <w:rsid w:val="002F4FD1"/>
    <w:rsid w:val="002F55E8"/>
    <w:rsid w:val="002F5C10"/>
    <w:rsid w:val="002F6A6B"/>
    <w:rsid w:val="003004D0"/>
    <w:rsid w:val="003023B2"/>
    <w:rsid w:val="00302A06"/>
    <w:rsid w:val="00302AEF"/>
    <w:rsid w:val="00302B2B"/>
    <w:rsid w:val="00302D8A"/>
    <w:rsid w:val="00305851"/>
    <w:rsid w:val="00305986"/>
    <w:rsid w:val="00307E17"/>
    <w:rsid w:val="00310568"/>
    <w:rsid w:val="00310B26"/>
    <w:rsid w:val="00310FF6"/>
    <w:rsid w:val="00311841"/>
    <w:rsid w:val="00311B64"/>
    <w:rsid w:val="003122F0"/>
    <w:rsid w:val="003128A6"/>
    <w:rsid w:val="00312D6D"/>
    <w:rsid w:val="00313500"/>
    <w:rsid w:val="0031596A"/>
    <w:rsid w:val="00315E03"/>
    <w:rsid w:val="00316347"/>
    <w:rsid w:val="00317871"/>
    <w:rsid w:val="00317B8E"/>
    <w:rsid w:val="00320A79"/>
    <w:rsid w:val="00321296"/>
    <w:rsid w:val="003219AA"/>
    <w:rsid w:val="00323671"/>
    <w:rsid w:val="00331524"/>
    <w:rsid w:val="00331F2A"/>
    <w:rsid w:val="0033243D"/>
    <w:rsid w:val="00332C5C"/>
    <w:rsid w:val="00332EBA"/>
    <w:rsid w:val="0033365C"/>
    <w:rsid w:val="00334863"/>
    <w:rsid w:val="003356E4"/>
    <w:rsid w:val="0033592B"/>
    <w:rsid w:val="00335E64"/>
    <w:rsid w:val="00337F34"/>
    <w:rsid w:val="003402C3"/>
    <w:rsid w:val="003403A6"/>
    <w:rsid w:val="003407E6"/>
    <w:rsid w:val="0034204C"/>
    <w:rsid w:val="00342190"/>
    <w:rsid w:val="00343888"/>
    <w:rsid w:val="00343E69"/>
    <w:rsid w:val="003444E3"/>
    <w:rsid w:val="00344A37"/>
    <w:rsid w:val="00344EB8"/>
    <w:rsid w:val="00345138"/>
    <w:rsid w:val="00345681"/>
    <w:rsid w:val="0034572A"/>
    <w:rsid w:val="00346EEF"/>
    <w:rsid w:val="0035082B"/>
    <w:rsid w:val="00350E79"/>
    <w:rsid w:val="00351427"/>
    <w:rsid w:val="0035150F"/>
    <w:rsid w:val="00351640"/>
    <w:rsid w:val="00351FC0"/>
    <w:rsid w:val="00352105"/>
    <w:rsid w:val="0035227B"/>
    <w:rsid w:val="0035242B"/>
    <w:rsid w:val="00352B9D"/>
    <w:rsid w:val="00353294"/>
    <w:rsid w:val="00354888"/>
    <w:rsid w:val="00355526"/>
    <w:rsid w:val="003555B0"/>
    <w:rsid w:val="003558AE"/>
    <w:rsid w:val="00355A97"/>
    <w:rsid w:val="00355BFE"/>
    <w:rsid w:val="003576CC"/>
    <w:rsid w:val="00357D74"/>
    <w:rsid w:val="00360A50"/>
    <w:rsid w:val="00360B58"/>
    <w:rsid w:val="003627C6"/>
    <w:rsid w:val="00362E53"/>
    <w:rsid w:val="003632F3"/>
    <w:rsid w:val="00364733"/>
    <w:rsid w:val="00364B13"/>
    <w:rsid w:val="00364FB3"/>
    <w:rsid w:val="00365515"/>
    <w:rsid w:val="003670D0"/>
    <w:rsid w:val="00371611"/>
    <w:rsid w:val="003722BC"/>
    <w:rsid w:val="003735F4"/>
    <w:rsid w:val="00373A1A"/>
    <w:rsid w:val="00373A50"/>
    <w:rsid w:val="003740A1"/>
    <w:rsid w:val="003743FC"/>
    <w:rsid w:val="003779C0"/>
    <w:rsid w:val="00381419"/>
    <w:rsid w:val="00382363"/>
    <w:rsid w:val="003857E4"/>
    <w:rsid w:val="00385B13"/>
    <w:rsid w:val="0038616A"/>
    <w:rsid w:val="00386226"/>
    <w:rsid w:val="003869FC"/>
    <w:rsid w:val="00387816"/>
    <w:rsid w:val="00390C07"/>
    <w:rsid w:val="00390F78"/>
    <w:rsid w:val="00394C4E"/>
    <w:rsid w:val="00394D15"/>
    <w:rsid w:val="003958FE"/>
    <w:rsid w:val="00396293"/>
    <w:rsid w:val="003A0984"/>
    <w:rsid w:val="003A0B92"/>
    <w:rsid w:val="003A1565"/>
    <w:rsid w:val="003A1993"/>
    <w:rsid w:val="003A1D57"/>
    <w:rsid w:val="003A39CD"/>
    <w:rsid w:val="003A3C82"/>
    <w:rsid w:val="003A5052"/>
    <w:rsid w:val="003A50C1"/>
    <w:rsid w:val="003A5A00"/>
    <w:rsid w:val="003A6A02"/>
    <w:rsid w:val="003A7490"/>
    <w:rsid w:val="003A7A59"/>
    <w:rsid w:val="003A7DF9"/>
    <w:rsid w:val="003B020F"/>
    <w:rsid w:val="003B1868"/>
    <w:rsid w:val="003B1CF2"/>
    <w:rsid w:val="003B1F97"/>
    <w:rsid w:val="003B2B56"/>
    <w:rsid w:val="003B3763"/>
    <w:rsid w:val="003B3D6B"/>
    <w:rsid w:val="003B3F44"/>
    <w:rsid w:val="003B42C4"/>
    <w:rsid w:val="003B6456"/>
    <w:rsid w:val="003B68A7"/>
    <w:rsid w:val="003B79B1"/>
    <w:rsid w:val="003C0666"/>
    <w:rsid w:val="003C1834"/>
    <w:rsid w:val="003C343B"/>
    <w:rsid w:val="003C3F6B"/>
    <w:rsid w:val="003C412E"/>
    <w:rsid w:val="003C5252"/>
    <w:rsid w:val="003C57AA"/>
    <w:rsid w:val="003C5821"/>
    <w:rsid w:val="003C6761"/>
    <w:rsid w:val="003C6793"/>
    <w:rsid w:val="003C6EB7"/>
    <w:rsid w:val="003C7640"/>
    <w:rsid w:val="003C7C63"/>
    <w:rsid w:val="003D0497"/>
    <w:rsid w:val="003D1C7D"/>
    <w:rsid w:val="003D2514"/>
    <w:rsid w:val="003D2EBB"/>
    <w:rsid w:val="003D2F70"/>
    <w:rsid w:val="003D2F9F"/>
    <w:rsid w:val="003D3A49"/>
    <w:rsid w:val="003D4F03"/>
    <w:rsid w:val="003D56A9"/>
    <w:rsid w:val="003D5C7A"/>
    <w:rsid w:val="003D620A"/>
    <w:rsid w:val="003D686E"/>
    <w:rsid w:val="003D78EA"/>
    <w:rsid w:val="003D7C3A"/>
    <w:rsid w:val="003E0CF4"/>
    <w:rsid w:val="003E14D1"/>
    <w:rsid w:val="003E159E"/>
    <w:rsid w:val="003E3B79"/>
    <w:rsid w:val="003E3BE6"/>
    <w:rsid w:val="003E44AA"/>
    <w:rsid w:val="003E4708"/>
    <w:rsid w:val="003E4856"/>
    <w:rsid w:val="003E4F8A"/>
    <w:rsid w:val="003E5770"/>
    <w:rsid w:val="003E6696"/>
    <w:rsid w:val="003E702F"/>
    <w:rsid w:val="003F07C6"/>
    <w:rsid w:val="003F0E86"/>
    <w:rsid w:val="003F20FB"/>
    <w:rsid w:val="003F2EBC"/>
    <w:rsid w:val="003F369A"/>
    <w:rsid w:val="003F4048"/>
    <w:rsid w:val="003F40D5"/>
    <w:rsid w:val="003F4847"/>
    <w:rsid w:val="003F5729"/>
    <w:rsid w:val="003F7124"/>
    <w:rsid w:val="0040040E"/>
    <w:rsid w:val="00400AB0"/>
    <w:rsid w:val="00401882"/>
    <w:rsid w:val="0040202A"/>
    <w:rsid w:val="00402810"/>
    <w:rsid w:val="0040330B"/>
    <w:rsid w:val="004050D9"/>
    <w:rsid w:val="00405177"/>
    <w:rsid w:val="00405E68"/>
    <w:rsid w:val="0040605A"/>
    <w:rsid w:val="00406C66"/>
    <w:rsid w:val="00406FAB"/>
    <w:rsid w:val="00407A4F"/>
    <w:rsid w:val="004106F2"/>
    <w:rsid w:val="0041078F"/>
    <w:rsid w:val="00410E76"/>
    <w:rsid w:val="00411420"/>
    <w:rsid w:val="0041159C"/>
    <w:rsid w:val="00411B04"/>
    <w:rsid w:val="00411F7E"/>
    <w:rsid w:val="00413A6B"/>
    <w:rsid w:val="00413F93"/>
    <w:rsid w:val="004162A1"/>
    <w:rsid w:val="00417065"/>
    <w:rsid w:val="004170CC"/>
    <w:rsid w:val="004202BE"/>
    <w:rsid w:val="00421AC6"/>
    <w:rsid w:val="00421FB9"/>
    <w:rsid w:val="004221A4"/>
    <w:rsid w:val="0042248F"/>
    <w:rsid w:val="00422653"/>
    <w:rsid w:val="00423DEB"/>
    <w:rsid w:val="004253C1"/>
    <w:rsid w:val="00430726"/>
    <w:rsid w:val="0043100D"/>
    <w:rsid w:val="004315DB"/>
    <w:rsid w:val="004319B1"/>
    <w:rsid w:val="00432214"/>
    <w:rsid w:val="004335B4"/>
    <w:rsid w:val="00434893"/>
    <w:rsid w:val="00435BF9"/>
    <w:rsid w:val="00435E69"/>
    <w:rsid w:val="00436202"/>
    <w:rsid w:val="004363AA"/>
    <w:rsid w:val="004405B8"/>
    <w:rsid w:val="004415B9"/>
    <w:rsid w:val="00442480"/>
    <w:rsid w:val="00442DE9"/>
    <w:rsid w:val="004431E2"/>
    <w:rsid w:val="00443DCD"/>
    <w:rsid w:val="00445AD0"/>
    <w:rsid w:val="00446117"/>
    <w:rsid w:val="00446139"/>
    <w:rsid w:val="00447294"/>
    <w:rsid w:val="00447AC4"/>
    <w:rsid w:val="00450865"/>
    <w:rsid w:val="00450F06"/>
    <w:rsid w:val="00451199"/>
    <w:rsid w:val="004513AF"/>
    <w:rsid w:val="00451CD2"/>
    <w:rsid w:val="00453105"/>
    <w:rsid w:val="00456850"/>
    <w:rsid w:val="00456DA6"/>
    <w:rsid w:val="00460CB5"/>
    <w:rsid w:val="0046188C"/>
    <w:rsid w:val="004629F0"/>
    <w:rsid w:val="00463623"/>
    <w:rsid w:val="0046381D"/>
    <w:rsid w:val="004640F7"/>
    <w:rsid w:val="00465921"/>
    <w:rsid w:val="004663EA"/>
    <w:rsid w:val="0046761D"/>
    <w:rsid w:val="00467AE5"/>
    <w:rsid w:val="00470D57"/>
    <w:rsid w:val="004723B2"/>
    <w:rsid w:val="0047378E"/>
    <w:rsid w:val="004737C1"/>
    <w:rsid w:val="00473A14"/>
    <w:rsid w:val="00473F12"/>
    <w:rsid w:val="00474528"/>
    <w:rsid w:val="00480C5F"/>
    <w:rsid w:val="00481DE1"/>
    <w:rsid w:val="00481F27"/>
    <w:rsid w:val="00482F6A"/>
    <w:rsid w:val="004832E0"/>
    <w:rsid w:val="0048542F"/>
    <w:rsid w:val="00485751"/>
    <w:rsid w:val="00485BF6"/>
    <w:rsid w:val="0048649B"/>
    <w:rsid w:val="00486583"/>
    <w:rsid w:val="004875E0"/>
    <w:rsid w:val="004879CE"/>
    <w:rsid w:val="00487D98"/>
    <w:rsid w:val="004902A6"/>
    <w:rsid w:val="00490CE4"/>
    <w:rsid w:val="00491B96"/>
    <w:rsid w:val="00492992"/>
    <w:rsid w:val="004929F3"/>
    <w:rsid w:val="00494FDC"/>
    <w:rsid w:val="00495539"/>
    <w:rsid w:val="00495C94"/>
    <w:rsid w:val="00496D7F"/>
    <w:rsid w:val="00496DBD"/>
    <w:rsid w:val="0049739D"/>
    <w:rsid w:val="00497527"/>
    <w:rsid w:val="00497552"/>
    <w:rsid w:val="004975F2"/>
    <w:rsid w:val="00497CBB"/>
    <w:rsid w:val="004A05D6"/>
    <w:rsid w:val="004A0A07"/>
    <w:rsid w:val="004A5E30"/>
    <w:rsid w:val="004A5EF3"/>
    <w:rsid w:val="004A7DE9"/>
    <w:rsid w:val="004A7EC5"/>
    <w:rsid w:val="004B0ED2"/>
    <w:rsid w:val="004B102D"/>
    <w:rsid w:val="004B1DEC"/>
    <w:rsid w:val="004B24C8"/>
    <w:rsid w:val="004B27A6"/>
    <w:rsid w:val="004B44FD"/>
    <w:rsid w:val="004B5092"/>
    <w:rsid w:val="004B5CCF"/>
    <w:rsid w:val="004B6B2F"/>
    <w:rsid w:val="004B7CBD"/>
    <w:rsid w:val="004C0224"/>
    <w:rsid w:val="004C0838"/>
    <w:rsid w:val="004C0D51"/>
    <w:rsid w:val="004C2130"/>
    <w:rsid w:val="004C2B14"/>
    <w:rsid w:val="004C2CEA"/>
    <w:rsid w:val="004C311D"/>
    <w:rsid w:val="004C3463"/>
    <w:rsid w:val="004C4249"/>
    <w:rsid w:val="004C4F83"/>
    <w:rsid w:val="004C5AD6"/>
    <w:rsid w:val="004C61E1"/>
    <w:rsid w:val="004C6375"/>
    <w:rsid w:val="004C6597"/>
    <w:rsid w:val="004C6617"/>
    <w:rsid w:val="004C6DDC"/>
    <w:rsid w:val="004C7013"/>
    <w:rsid w:val="004D0C47"/>
    <w:rsid w:val="004D0D95"/>
    <w:rsid w:val="004D0EB7"/>
    <w:rsid w:val="004D22D0"/>
    <w:rsid w:val="004D2674"/>
    <w:rsid w:val="004D278C"/>
    <w:rsid w:val="004D2AB9"/>
    <w:rsid w:val="004D7341"/>
    <w:rsid w:val="004E1194"/>
    <w:rsid w:val="004E2E70"/>
    <w:rsid w:val="004E3B82"/>
    <w:rsid w:val="004E3D57"/>
    <w:rsid w:val="004E3D88"/>
    <w:rsid w:val="004E4CA9"/>
    <w:rsid w:val="004E4EB3"/>
    <w:rsid w:val="004E62C3"/>
    <w:rsid w:val="004F059B"/>
    <w:rsid w:val="004F1A04"/>
    <w:rsid w:val="004F2F94"/>
    <w:rsid w:val="004F2FB0"/>
    <w:rsid w:val="004F4F41"/>
    <w:rsid w:val="004F55AE"/>
    <w:rsid w:val="004F61D7"/>
    <w:rsid w:val="004F74F0"/>
    <w:rsid w:val="0050034F"/>
    <w:rsid w:val="00500790"/>
    <w:rsid w:val="00501005"/>
    <w:rsid w:val="0050176B"/>
    <w:rsid w:val="005029C5"/>
    <w:rsid w:val="00503609"/>
    <w:rsid w:val="00504510"/>
    <w:rsid w:val="00505EB3"/>
    <w:rsid w:val="00510153"/>
    <w:rsid w:val="005123C5"/>
    <w:rsid w:val="00514A81"/>
    <w:rsid w:val="00514F4F"/>
    <w:rsid w:val="00516F8F"/>
    <w:rsid w:val="005178B9"/>
    <w:rsid w:val="00517973"/>
    <w:rsid w:val="00520612"/>
    <w:rsid w:val="005214F4"/>
    <w:rsid w:val="0052204C"/>
    <w:rsid w:val="00522AC7"/>
    <w:rsid w:val="00523FFF"/>
    <w:rsid w:val="00525576"/>
    <w:rsid w:val="00525A5B"/>
    <w:rsid w:val="00526614"/>
    <w:rsid w:val="00526AC2"/>
    <w:rsid w:val="00526EF8"/>
    <w:rsid w:val="005270C2"/>
    <w:rsid w:val="005274AB"/>
    <w:rsid w:val="00527DD9"/>
    <w:rsid w:val="00527E16"/>
    <w:rsid w:val="00530E50"/>
    <w:rsid w:val="00531ED9"/>
    <w:rsid w:val="0053208D"/>
    <w:rsid w:val="00535B74"/>
    <w:rsid w:val="0053655F"/>
    <w:rsid w:val="00537C2E"/>
    <w:rsid w:val="00537E3F"/>
    <w:rsid w:val="00540AA9"/>
    <w:rsid w:val="005419D2"/>
    <w:rsid w:val="00541D4D"/>
    <w:rsid w:val="00544281"/>
    <w:rsid w:val="00545343"/>
    <w:rsid w:val="00545427"/>
    <w:rsid w:val="00545B18"/>
    <w:rsid w:val="005466B8"/>
    <w:rsid w:val="0054677B"/>
    <w:rsid w:val="00547000"/>
    <w:rsid w:val="00550862"/>
    <w:rsid w:val="0055090D"/>
    <w:rsid w:val="00550FA3"/>
    <w:rsid w:val="00552AE9"/>
    <w:rsid w:val="005537D2"/>
    <w:rsid w:val="00554158"/>
    <w:rsid w:val="005542A9"/>
    <w:rsid w:val="00554439"/>
    <w:rsid w:val="00554F6C"/>
    <w:rsid w:val="00555457"/>
    <w:rsid w:val="00555FEF"/>
    <w:rsid w:val="00556812"/>
    <w:rsid w:val="0055710F"/>
    <w:rsid w:val="00561665"/>
    <w:rsid w:val="00562808"/>
    <w:rsid w:val="00563456"/>
    <w:rsid w:val="005640C0"/>
    <w:rsid w:val="00564A1E"/>
    <w:rsid w:val="005656FC"/>
    <w:rsid w:val="00565C0E"/>
    <w:rsid w:val="005704BA"/>
    <w:rsid w:val="00571131"/>
    <w:rsid w:val="00571176"/>
    <w:rsid w:val="00571418"/>
    <w:rsid w:val="00571605"/>
    <w:rsid w:val="00571749"/>
    <w:rsid w:val="00571C9B"/>
    <w:rsid w:val="0057320B"/>
    <w:rsid w:val="0057344B"/>
    <w:rsid w:val="005734FE"/>
    <w:rsid w:val="00573631"/>
    <w:rsid w:val="00577B91"/>
    <w:rsid w:val="00577DF2"/>
    <w:rsid w:val="00580316"/>
    <w:rsid w:val="00580846"/>
    <w:rsid w:val="0058200C"/>
    <w:rsid w:val="00582972"/>
    <w:rsid w:val="00582DEC"/>
    <w:rsid w:val="00583C7D"/>
    <w:rsid w:val="00584413"/>
    <w:rsid w:val="00585E35"/>
    <w:rsid w:val="00586912"/>
    <w:rsid w:val="005870C0"/>
    <w:rsid w:val="00587C2A"/>
    <w:rsid w:val="005904F7"/>
    <w:rsid w:val="0059082F"/>
    <w:rsid w:val="00590E39"/>
    <w:rsid w:val="00591792"/>
    <w:rsid w:val="00591917"/>
    <w:rsid w:val="00591D2F"/>
    <w:rsid w:val="00592CC8"/>
    <w:rsid w:val="00592F7E"/>
    <w:rsid w:val="00593E07"/>
    <w:rsid w:val="00594112"/>
    <w:rsid w:val="005941F0"/>
    <w:rsid w:val="00594F60"/>
    <w:rsid w:val="00597C95"/>
    <w:rsid w:val="00597E6D"/>
    <w:rsid w:val="005A161C"/>
    <w:rsid w:val="005A1862"/>
    <w:rsid w:val="005A2AD1"/>
    <w:rsid w:val="005A3B25"/>
    <w:rsid w:val="005A4F53"/>
    <w:rsid w:val="005A5640"/>
    <w:rsid w:val="005A57F5"/>
    <w:rsid w:val="005A5B64"/>
    <w:rsid w:val="005A6D8F"/>
    <w:rsid w:val="005A6F71"/>
    <w:rsid w:val="005A799E"/>
    <w:rsid w:val="005B2C42"/>
    <w:rsid w:val="005B38A7"/>
    <w:rsid w:val="005B3A93"/>
    <w:rsid w:val="005B4640"/>
    <w:rsid w:val="005B48D2"/>
    <w:rsid w:val="005B66A4"/>
    <w:rsid w:val="005B68F9"/>
    <w:rsid w:val="005C073E"/>
    <w:rsid w:val="005C1943"/>
    <w:rsid w:val="005C1F69"/>
    <w:rsid w:val="005C2080"/>
    <w:rsid w:val="005C2F34"/>
    <w:rsid w:val="005C45F6"/>
    <w:rsid w:val="005C4A48"/>
    <w:rsid w:val="005C53B6"/>
    <w:rsid w:val="005C5B18"/>
    <w:rsid w:val="005C62FA"/>
    <w:rsid w:val="005D1458"/>
    <w:rsid w:val="005D1627"/>
    <w:rsid w:val="005D16A7"/>
    <w:rsid w:val="005D24FC"/>
    <w:rsid w:val="005D4BAA"/>
    <w:rsid w:val="005D6588"/>
    <w:rsid w:val="005D7B0B"/>
    <w:rsid w:val="005E0C88"/>
    <w:rsid w:val="005E0CA7"/>
    <w:rsid w:val="005E0F9B"/>
    <w:rsid w:val="005E173C"/>
    <w:rsid w:val="005E270E"/>
    <w:rsid w:val="005E2A96"/>
    <w:rsid w:val="005E3E68"/>
    <w:rsid w:val="005E4378"/>
    <w:rsid w:val="005E4891"/>
    <w:rsid w:val="005E551C"/>
    <w:rsid w:val="005E5B60"/>
    <w:rsid w:val="005E6128"/>
    <w:rsid w:val="005E61CB"/>
    <w:rsid w:val="005E6227"/>
    <w:rsid w:val="005E73C4"/>
    <w:rsid w:val="005E7E01"/>
    <w:rsid w:val="005F2E95"/>
    <w:rsid w:val="005F3EC4"/>
    <w:rsid w:val="005F5AFB"/>
    <w:rsid w:val="005F5F82"/>
    <w:rsid w:val="005F5FA6"/>
    <w:rsid w:val="005F63EA"/>
    <w:rsid w:val="005F7411"/>
    <w:rsid w:val="00600BFF"/>
    <w:rsid w:val="006011D3"/>
    <w:rsid w:val="00601574"/>
    <w:rsid w:val="006015F4"/>
    <w:rsid w:val="00601C4B"/>
    <w:rsid w:val="00602B7D"/>
    <w:rsid w:val="0060451D"/>
    <w:rsid w:val="00605A71"/>
    <w:rsid w:val="00605EC9"/>
    <w:rsid w:val="0060663B"/>
    <w:rsid w:val="00610272"/>
    <w:rsid w:val="006109E9"/>
    <w:rsid w:val="00610CC7"/>
    <w:rsid w:val="00611102"/>
    <w:rsid w:val="0061168B"/>
    <w:rsid w:val="006138CE"/>
    <w:rsid w:val="00614307"/>
    <w:rsid w:val="006153D5"/>
    <w:rsid w:val="00615441"/>
    <w:rsid w:val="00615765"/>
    <w:rsid w:val="00615966"/>
    <w:rsid w:val="00615FD7"/>
    <w:rsid w:val="00616BFE"/>
    <w:rsid w:val="0061774F"/>
    <w:rsid w:val="00622FA3"/>
    <w:rsid w:val="006230D3"/>
    <w:rsid w:val="00625DB4"/>
    <w:rsid w:val="00627691"/>
    <w:rsid w:val="00627AEB"/>
    <w:rsid w:val="00630061"/>
    <w:rsid w:val="0063095D"/>
    <w:rsid w:val="006314F1"/>
    <w:rsid w:val="006316A1"/>
    <w:rsid w:val="00631B50"/>
    <w:rsid w:val="00631F61"/>
    <w:rsid w:val="00632046"/>
    <w:rsid w:val="00632134"/>
    <w:rsid w:val="00632261"/>
    <w:rsid w:val="00632BED"/>
    <w:rsid w:val="00632FCD"/>
    <w:rsid w:val="00635604"/>
    <w:rsid w:val="0063664A"/>
    <w:rsid w:val="00641A44"/>
    <w:rsid w:val="00641C2C"/>
    <w:rsid w:val="00642978"/>
    <w:rsid w:val="00643211"/>
    <w:rsid w:val="00643262"/>
    <w:rsid w:val="00643E37"/>
    <w:rsid w:val="00644880"/>
    <w:rsid w:val="00646977"/>
    <w:rsid w:val="0064781F"/>
    <w:rsid w:val="00650614"/>
    <w:rsid w:val="00650B22"/>
    <w:rsid w:val="00652463"/>
    <w:rsid w:val="00652A53"/>
    <w:rsid w:val="00656821"/>
    <w:rsid w:val="00656F42"/>
    <w:rsid w:val="00657A4E"/>
    <w:rsid w:val="00657B44"/>
    <w:rsid w:val="00657BDC"/>
    <w:rsid w:val="00660362"/>
    <w:rsid w:val="006616F2"/>
    <w:rsid w:val="00662941"/>
    <w:rsid w:val="00663A2E"/>
    <w:rsid w:val="0066466B"/>
    <w:rsid w:val="00664D6A"/>
    <w:rsid w:val="00665A00"/>
    <w:rsid w:val="00665F7A"/>
    <w:rsid w:val="00666878"/>
    <w:rsid w:val="00667860"/>
    <w:rsid w:val="006704E3"/>
    <w:rsid w:val="00670811"/>
    <w:rsid w:val="0067088A"/>
    <w:rsid w:val="006713C5"/>
    <w:rsid w:val="00671517"/>
    <w:rsid w:val="00671942"/>
    <w:rsid w:val="006724C4"/>
    <w:rsid w:val="00674F7E"/>
    <w:rsid w:val="00675B90"/>
    <w:rsid w:val="00680722"/>
    <w:rsid w:val="00681410"/>
    <w:rsid w:val="0068162A"/>
    <w:rsid w:val="006825BA"/>
    <w:rsid w:val="00683FAF"/>
    <w:rsid w:val="006846E2"/>
    <w:rsid w:val="00684972"/>
    <w:rsid w:val="00684B47"/>
    <w:rsid w:val="00684F8D"/>
    <w:rsid w:val="00685286"/>
    <w:rsid w:val="0068588E"/>
    <w:rsid w:val="00685B4A"/>
    <w:rsid w:val="00685E06"/>
    <w:rsid w:val="00686A56"/>
    <w:rsid w:val="00687B20"/>
    <w:rsid w:val="00690350"/>
    <w:rsid w:val="006903BA"/>
    <w:rsid w:val="0069264C"/>
    <w:rsid w:val="00692AA5"/>
    <w:rsid w:val="00692B7A"/>
    <w:rsid w:val="006943CE"/>
    <w:rsid w:val="00697768"/>
    <w:rsid w:val="00697A9B"/>
    <w:rsid w:val="006A05A3"/>
    <w:rsid w:val="006A085B"/>
    <w:rsid w:val="006A2D71"/>
    <w:rsid w:val="006A4F8E"/>
    <w:rsid w:val="006A5487"/>
    <w:rsid w:val="006A6E77"/>
    <w:rsid w:val="006A771B"/>
    <w:rsid w:val="006A77DF"/>
    <w:rsid w:val="006B0415"/>
    <w:rsid w:val="006B0FDC"/>
    <w:rsid w:val="006B1CDF"/>
    <w:rsid w:val="006B2BDB"/>
    <w:rsid w:val="006B2C15"/>
    <w:rsid w:val="006B2E2A"/>
    <w:rsid w:val="006B3B1A"/>
    <w:rsid w:val="006B41B9"/>
    <w:rsid w:val="006B4921"/>
    <w:rsid w:val="006B4A9A"/>
    <w:rsid w:val="006B5F8C"/>
    <w:rsid w:val="006B6588"/>
    <w:rsid w:val="006B6FED"/>
    <w:rsid w:val="006B737D"/>
    <w:rsid w:val="006C218F"/>
    <w:rsid w:val="006C301A"/>
    <w:rsid w:val="006C3343"/>
    <w:rsid w:val="006C61E9"/>
    <w:rsid w:val="006C779D"/>
    <w:rsid w:val="006C7A34"/>
    <w:rsid w:val="006D0339"/>
    <w:rsid w:val="006D0FE2"/>
    <w:rsid w:val="006D13FD"/>
    <w:rsid w:val="006D1CA0"/>
    <w:rsid w:val="006D1DC5"/>
    <w:rsid w:val="006D1E81"/>
    <w:rsid w:val="006D3454"/>
    <w:rsid w:val="006D4943"/>
    <w:rsid w:val="006D4B19"/>
    <w:rsid w:val="006D59BE"/>
    <w:rsid w:val="006D6A84"/>
    <w:rsid w:val="006D6E93"/>
    <w:rsid w:val="006E04B6"/>
    <w:rsid w:val="006E04DF"/>
    <w:rsid w:val="006E13C3"/>
    <w:rsid w:val="006E1B50"/>
    <w:rsid w:val="006E4EDD"/>
    <w:rsid w:val="006E61C6"/>
    <w:rsid w:val="006E6892"/>
    <w:rsid w:val="006F037E"/>
    <w:rsid w:val="006F0400"/>
    <w:rsid w:val="006F0B5A"/>
    <w:rsid w:val="006F1191"/>
    <w:rsid w:val="006F28FF"/>
    <w:rsid w:val="006F2D57"/>
    <w:rsid w:val="006F3722"/>
    <w:rsid w:val="006F3E33"/>
    <w:rsid w:val="006F3E3D"/>
    <w:rsid w:val="006F4C3A"/>
    <w:rsid w:val="006F69E8"/>
    <w:rsid w:val="006F702D"/>
    <w:rsid w:val="00700965"/>
    <w:rsid w:val="00701AC9"/>
    <w:rsid w:val="00702121"/>
    <w:rsid w:val="00703134"/>
    <w:rsid w:val="007035BA"/>
    <w:rsid w:val="00703CE4"/>
    <w:rsid w:val="00703E4B"/>
    <w:rsid w:val="0070437A"/>
    <w:rsid w:val="00704B43"/>
    <w:rsid w:val="00706F20"/>
    <w:rsid w:val="00707255"/>
    <w:rsid w:val="007112EC"/>
    <w:rsid w:val="00711E8E"/>
    <w:rsid w:val="00712F3D"/>
    <w:rsid w:val="00713568"/>
    <w:rsid w:val="00713E57"/>
    <w:rsid w:val="00714C0A"/>
    <w:rsid w:val="007155F3"/>
    <w:rsid w:val="00715AF9"/>
    <w:rsid w:val="0071676F"/>
    <w:rsid w:val="007167FE"/>
    <w:rsid w:val="00716A09"/>
    <w:rsid w:val="0071734F"/>
    <w:rsid w:val="007209F4"/>
    <w:rsid w:val="007219A8"/>
    <w:rsid w:val="007255A8"/>
    <w:rsid w:val="00726686"/>
    <w:rsid w:val="007269F0"/>
    <w:rsid w:val="00727616"/>
    <w:rsid w:val="00727B6A"/>
    <w:rsid w:val="007303EE"/>
    <w:rsid w:val="00731340"/>
    <w:rsid w:val="0073150F"/>
    <w:rsid w:val="00732C9C"/>
    <w:rsid w:val="00735992"/>
    <w:rsid w:val="00735A3E"/>
    <w:rsid w:val="00736D4C"/>
    <w:rsid w:val="00737D0B"/>
    <w:rsid w:val="00737E12"/>
    <w:rsid w:val="00740BF0"/>
    <w:rsid w:val="00741832"/>
    <w:rsid w:val="00742540"/>
    <w:rsid w:val="00742D12"/>
    <w:rsid w:val="00744600"/>
    <w:rsid w:val="00747B8F"/>
    <w:rsid w:val="00750112"/>
    <w:rsid w:val="00750371"/>
    <w:rsid w:val="007508C8"/>
    <w:rsid w:val="007509D1"/>
    <w:rsid w:val="00752DB7"/>
    <w:rsid w:val="00752EE6"/>
    <w:rsid w:val="00754E8C"/>
    <w:rsid w:val="007551CB"/>
    <w:rsid w:val="00756A16"/>
    <w:rsid w:val="007571A1"/>
    <w:rsid w:val="00757261"/>
    <w:rsid w:val="007602D5"/>
    <w:rsid w:val="007605CF"/>
    <w:rsid w:val="007607F7"/>
    <w:rsid w:val="007607FD"/>
    <w:rsid w:val="007616A0"/>
    <w:rsid w:val="00761CB4"/>
    <w:rsid w:val="0076345A"/>
    <w:rsid w:val="0076345D"/>
    <w:rsid w:val="00765673"/>
    <w:rsid w:val="00765D97"/>
    <w:rsid w:val="007668E3"/>
    <w:rsid w:val="00766AC5"/>
    <w:rsid w:val="00767424"/>
    <w:rsid w:val="00767F72"/>
    <w:rsid w:val="007707A3"/>
    <w:rsid w:val="00771FE1"/>
    <w:rsid w:val="00772AC9"/>
    <w:rsid w:val="007730A8"/>
    <w:rsid w:val="007745BF"/>
    <w:rsid w:val="007756DF"/>
    <w:rsid w:val="007759F4"/>
    <w:rsid w:val="00777A9B"/>
    <w:rsid w:val="00777F39"/>
    <w:rsid w:val="00780E34"/>
    <w:rsid w:val="0078297D"/>
    <w:rsid w:val="007849B9"/>
    <w:rsid w:val="00784F2E"/>
    <w:rsid w:val="00784F89"/>
    <w:rsid w:val="00785433"/>
    <w:rsid w:val="007858E0"/>
    <w:rsid w:val="00786194"/>
    <w:rsid w:val="0078647C"/>
    <w:rsid w:val="00786A29"/>
    <w:rsid w:val="00790AE9"/>
    <w:rsid w:val="00791A91"/>
    <w:rsid w:val="007926C8"/>
    <w:rsid w:val="007926DB"/>
    <w:rsid w:val="00792EFF"/>
    <w:rsid w:val="00793785"/>
    <w:rsid w:val="00793815"/>
    <w:rsid w:val="007940F3"/>
    <w:rsid w:val="00794C0C"/>
    <w:rsid w:val="0079582D"/>
    <w:rsid w:val="007967A4"/>
    <w:rsid w:val="00796B4F"/>
    <w:rsid w:val="00796DD7"/>
    <w:rsid w:val="00797B79"/>
    <w:rsid w:val="007A10B5"/>
    <w:rsid w:val="007A1618"/>
    <w:rsid w:val="007A1ADB"/>
    <w:rsid w:val="007A2D83"/>
    <w:rsid w:val="007A2F0D"/>
    <w:rsid w:val="007A35C3"/>
    <w:rsid w:val="007A4480"/>
    <w:rsid w:val="007A45A7"/>
    <w:rsid w:val="007A461A"/>
    <w:rsid w:val="007A4A33"/>
    <w:rsid w:val="007A6409"/>
    <w:rsid w:val="007A6FEF"/>
    <w:rsid w:val="007B001F"/>
    <w:rsid w:val="007B0080"/>
    <w:rsid w:val="007B097D"/>
    <w:rsid w:val="007B10C0"/>
    <w:rsid w:val="007B1399"/>
    <w:rsid w:val="007B26ED"/>
    <w:rsid w:val="007B2E23"/>
    <w:rsid w:val="007B45F8"/>
    <w:rsid w:val="007B4EBD"/>
    <w:rsid w:val="007B501A"/>
    <w:rsid w:val="007B5BC7"/>
    <w:rsid w:val="007B5F3A"/>
    <w:rsid w:val="007B720D"/>
    <w:rsid w:val="007B7E34"/>
    <w:rsid w:val="007C09E9"/>
    <w:rsid w:val="007C13B1"/>
    <w:rsid w:val="007C1F3E"/>
    <w:rsid w:val="007C384C"/>
    <w:rsid w:val="007C4DEF"/>
    <w:rsid w:val="007C5F58"/>
    <w:rsid w:val="007C7883"/>
    <w:rsid w:val="007C7898"/>
    <w:rsid w:val="007D0E5F"/>
    <w:rsid w:val="007D1CAF"/>
    <w:rsid w:val="007D1D2D"/>
    <w:rsid w:val="007D1E24"/>
    <w:rsid w:val="007D2F4C"/>
    <w:rsid w:val="007D5A30"/>
    <w:rsid w:val="007D6010"/>
    <w:rsid w:val="007D650C"/>
    <w:rsid w:val="007D698F"/>
    <w:rsid w:val="007D6C9C"/>
    <w:rsid w:val="007D72FA"/>
    <w:rsid w:val="007D75FD"/>
    <w:rsid w:val="007D7A78"/>
    <w:rsid w:val="007E04AE"/>
    <w:rsid w:val="007E0FEE"/>
    <w:rsid w:val="007E1207"/>
    <w:rsid w:val="007E1388"/>
    <w:rsid w:val="007E277B"/>
    <w:rsid w:val="007E3A7A"/>
    <w:rsid w:val="007E55F4"/>
    <w:rsid w:val="007E6796"/>
    <w:rsid w:val="007E70FE"/>
    <w:rsid w:val="007E75CD"/>
    <w:rsid w:val="007E75DC"/>
    <w:rsid w:val="007E7B18"/>
    <w:rsid w:val="007F0B96"/>
    <w:rsid w:val="007F105B"/>
    <w:rsid w:val="007F10B1"/>
    <w:rsid w:val="007F11F6"/>
    <w:rsid w:val="007F1AC7"/>
    <w:rsid w:val="007F343F"/>
    <w:rsid w:val="007F4EB3"/>
    <w:rsid w:val="007F5C44"/>
    <w:rsid w:val="007F65D5"/>
    <w:rsid w:val="007F6867"/>
    <w:rsid w:val="007F6D20"/>
    <w:rsid w:val="00800795"/>
    <w:rsid w:val="008011E3"/>
    <w:rsid w:val="00801619"/>
    <w:rsid w:val="008019F1"/>
    <w:rsid w:val="00801BD4"/>
    <w:rsid w:val="00802A79"/>
    <w:rsid w:val="00804A2C"/>
    <w:rsid w:val="00806652"/>
    <w:rsid w:val="00807A49"/>
    <w:rsid w:val="00807C72"/>
    <w:rsid w:val="00810AC2"/>
    <w:rsid w:val="00810B52"/>
    <w:rsid w:val="008110ED"/>
    <w:rsid w:val="00811CB2"/>
    <w:rsid w:val="00812103"/>
    <w:rsid w:val="00813B1C"/>
    <w:rsid w:val="00814507"/>
    <w:rsid w:val="008149CB"/>
    <w:rsid w:val="00814F78"/>
    <w:rsid w:val="00815CC0"/>
    <w:rsid w:val="0081620B"/>
    <w:rsid w:val="00816977"/>
    <w:rsid w:val="00816D0C"/>
    <w:rsid w:val="00817AEE"/>
    <w:rsid w:val="008207BC"/>
    <w:rsid w:val="00821268"/>
    <w:rsid w:val="008215B7"/>
    <w:rsid w:val="00821724"/>
    <w:rsid w:val="0082315A"/>
    <w:rsid w:val="008232E4"/>
    <w:rsid w:val="008232F4"/>
    <w:rsid w:val="00823414"/>
    <w:rsid w:val="00824299"/>
    <w:rsid w:val="00824E47"/>
    <w:rsid w:val="008250FF"/>
    <w:rsid w:val="008255DD"/>
    <w:rsid w:val="00827EA1"/>
    <w:rsid w:val="0083056F"/>
    <w:rsid w:val="00831E69"/>
    <w:rsid w:val="00833F40"/>
    <w:rsid w:val="0083529C"/>
    <w:rsid w:val="0083576F"/>
    <w:rsid w:val="0083599D"/>
    <w:rsid w:val="00835CA7"/>
    <w:rsid w:val="00835DB0"/>
    <w:rsid w:val="0083645F"/>
    <w:rsid w:val="00836CAA"/>
    <w:rsid w:val="00837A3E"/>
    <w:rsid w:val="00837E55"/>
    <w:rsid w:val="008405DB"/>
    <w:rsid w:val="00840913"/>
    <w:rsid w:val="0084097B"/>
    <w:rsid w:val="00840B87"/>
    <w:rsid w:val="00841391"/>
    <w:rsid w:val="008414AB"/>
    <w:rsid w:val="00841B63"/>
    <w:rsid w:val="00843616"/>
    <w:rsid w:val="00843798"/>
    <w:rsid w:val="00843C01"/>
    <w:rsid w:val="00844184"/>
    <w:rsid w:val="0084455A"/>
    <w:rsid w:val="0084455D"/>
    <w:rsid w:val="008450C8"/>
    <w:rsid w:val="008452C8"/>
    <w:rsid w:val="00845C86"/>
    <w:rsid w:val="00846B97"/>
    <w:rsid w:val="00847B1C"/>
    <w:rsid w:val="0085030B"/>
    <w:rsid w:val="008505FC"/>
    <w:rsid w:val="00850846"/>
    <w:rsid w:val="00850D2D"/>
    <w:rsid w:val="0085179F"/>
    <w:rsid w:val="008517FD"/>
    <w:rsid w:val="00851E02"/>
    <w:rsid w:val="00851E57"/>
    <w:rsid w:val="0085270D"/>
    <w:rsid w:val="0085349B"/>
    <w:rsid w:val="00854921"/>
    <w:rsid w:val="00855487"/>
    <w:rsid w:val="0085597C"/>
    <w:rsid w:val="00856AA6"/>
    <w:rsid w:val="00860A87"/>
    <w:rsid w:val="00861912"/>
    <w:rsid w:val="0086250B"/>
    <w:rsid w:val="008634A8"/>
    <w:rsid w:val="00864AF5"/>
    <w:rsid w:val="00865ADF"/>
    <w:rsid w:val="00866868"/>
    <w:rsid w:val="00866AA6"/>
    <w:rsid w:val="008707E6"/>
    <w:rsid w:val="008712A2"/>
    <w:rsid w:val="00871ECB"/>
    <w:rsid w:val="00872C1E"/>
    <w:rsid w:val="008735E7"/>
    <w:rsid w:val="00874FF3"/>
    <w:rsid w:val="008751AF"/>
    <w:rsid w:val="008758B0"/>
    <w:rsid w:val="00876F10"/>
    <w:rsid w:val="00880522"/>
    <w:rsid w:val="00881D86"/>
    <w:rsid w:val="00883EDA"/>
    <w:rsid w:val="00884C8E"/>
    <w:rsid w:val="0088513F"/>
    <w:rsid w:val="00885645"/>
    <w:rsid w:val="00886AD1"/>
    <w:rsid w:val="00886F21"/>
    <w:rsid w:val="008874E4"/>
    <w:rsid w:val="008902A6"/>
    <w:rsid w:val="00892C95"/>
    <w:rsid w:val="00893D8F"/>
    <w:rsid w:val="00894690"/>
    <w:rsid w:val="00894DD9"/>
    <w:rsid w:val="008958AA"/>
    <w:rsid w:val="00895CC2"/>
    <w:rsid w:val="00896B20"/>
    <w:rsid w:val="008973AE"/>
    <w:rsid w:val="00897593"/>
    <w:rsid w:val="00897901"/>
    <w:rsid w:val="008A01BE"/>
    <w:rsid w:val="008A4480"/>
    <w:rsid w:val="008A6AE8"/>
    <w:rsid w:val="008B2867"/>
    <w:rsid w:val="008B496B"/>
    <w:rsid w:val="008B5497"/>
    <w:rsid w:val="008B62EF"/>
    <w:rsid w:val="008B63F5"/>
    <w:rsid w:val="008B6489"/>
    <w:rsid w:val="008B6DBC"/>
    <w:rsid w:val="008C08DB"/>
    <w:rsid w:val="008C0F64"/>
    <w:rsid w:val="008C38E4"/>
    <w:rsid w:val="008C4020"/>
    <w:rsid w:val="008C4918"/>
    <w:rsid w:val="008C5CBE"/>
    <w:rsid w:val="008C6832"/>
    <w:rsid w:val="008D0A48"/>
    <w:rsid w:val="008D0B39"/>
    <w:rsid w:val="008D0D82"/>
    <w:rsid w:val="008D1486"/>
    <w:rsid w:val="008D2D72"/>
    <w:rsid w:val="008D3668"/>
    <w:rsid w:val="008D3A47"/>
    <w:rsid w:val="008D68EB"/>
    <w:rsid w:val="008D6D38"/>
    <w:rsid w:val="008D7C50"/>
    <w:rsid w:val="008E1636"/>
    <w:rsid w:val="008E2671"/>
    <w:rsid w:val="008E2B05"/>
    <w:rsid w:val="008E3C56"/>
    <w:rsid w:val="008E4FF0"/>
    <w:rsid w:val="008E51F6"/>
    <w:rsid w:val="008E597B"/>
    <w:rsid w:val="008E6D05"/>
    <w:rsid w:val="008E76A6"/>
    <w:rsid w:val="008E7DCD"/>
    <w:rsid w:val="008F03FF"/>
    <w:rsid w:val="008F0BE4"/>
    <w:rsid w:val="008F1CD9"/>
    <w:rsid w:val="008F2941"/>
    <w:rsid w:val="008F2D6A"/>
    <w:rsid w:val="008F31D3"/>
    <w:rsid w:val="008F3BF3"/>
    <w:rsid w:val="008F41D9"/>
    <w:rsid w:val="008F47FC"/>
    <w:rsid w:val="008F5ED9"/>
    <w:rsid w:val="008F61CC"/>
    <w:rsid w:val="008F62E5"/>
    <w:rsid w:val="009009E4"/>
    <w:rsid w:val="00900F0A"/>
    <w:rsid w:val="009013FA"/>
    <w:rsid w:val="00902173"/>
    <w:rsid w:val="00902418"/>
    <w:rsid w:val="00902DAB"/>
    <w:rsid w:val="0090426F"/>
    <w:rsid w:val="009048A4"/>
    <w:rsid w:val="0090617E"/>
    <w:rsid w:val="009061E9"/>
    <w:rsid w:val="00906D7C"/>
    <w:rsid w:val="00910724"/>
    <w:rsid w:val="00911927"/>
    <w:rsid w:val="00911DBA"/>
    <w:rsid w:val="0091244C"/>
    <w:rsid w:val="00913CAF"/>
    <w:rsid w:val="00913D45"/>
    <w:rsid w:val="00913E7F"/>
    <w:rsid w:val="009140B5"/>
    <w:rsid w:val="0091490D"/>
    <w:rsid w:val="0091571E"/>
    <w:rsid w:val="00915C20"/>
    <w:rsid w:val="00916859"/>
    <w:rsid w:val="00916A82"/>
    <w:rsid w:val="009172BB"/>
    <w:rsid w:val="0091779B"/>
    <w:rsid w:val="00924095"/>
    <w:rsid w:val="00924978"/>
    <w:rsid w:val="0092510D"/>
    <w:rsid w:val="009259B7"/>
    <w:rsid w:val="00925B6B"/>
    <w:rsid w:val="009261EE"/>
    <w:rsid w:val="00926FB9"/>
    <w:rsid w:val="00930148"/>
    <w:rsid w:val="00930FEC"/>
    <w:rsid w:val="0093164E"/>
    <w:rsid w:val="00931C27"/>
    <w:rsid w:val="00933D77"/>
    <w:rsid w:val="00934334"/>
    <w:rsid w:val="00934D65"/>
    <w:rsid w:val="009350F4"/>
    <w:rsid w:val="00935D93"/>
    <w:rsid w:val="00940187"/>
    <w:rsid w:val="00940C20"/>
    <w:rsid w:val="00941580"/>
    <w:rsid w:val="00941B25"/>
    <w:rsid w:val="00942058"/>
    <w:rsid w:val="00942A53"/>
    <w:rsid w:val="00945351"/>
    <w:rsid w:val="00946D64"/>
    <w:rsid w:val="0095008C"/>
    <w:rsid w:val="00950340"/>
    <w:rsid w:val="00950D95"/>
    <w:rsid w:val="009525B1"/>
    <w:rsid w:val="009528F0"/>
    <w:rsid w:val="00952B2F"/>
    <w:rsid w:val="009530AD"/>
    <w:rsid w:val="00953B35"/>
    <w:rsid w:val="0095449E"/>
    <w:rsid w:val="009551FC"/>
    <w:rsid w:val="0095715D"/>
    <w:rsid w:val="009576F6"/>
    <w:rsid w:val="00960E2B"/>
    <w:rsid w:val="00960EE1"/>
    <w:rsid w:val="00961F98"/>
    <w:rsid w:val="00962858"/>
    <w:rsid w:val="00964C7F"/>
    <w:rsid w:val="009650C7"/>
    <w:rsid w:val="00965437"/>
    <w:rsid w:val="009654F0"/>
    <w:rsid w:val="00965A3C"/>
    <w:rsid w:val="009664EC"/>
    <w:rsid w:val="00966A85"/>
    <w:rsid w:val="0097104F"/>
    <w:rsid w:val="009714BA"/>
    <w:rsid w:val="0097256A"/>
    <w:rsid w:val="00973446"/>
    <w:rsid w:val="00973BB4"/>
    <w:rsid w:val="009741AC"/>
    <w:rsid w:val="00974B93"/>
    <w:rsid w:val="00976DE2"/>
    <w:rsid w:val="0097777B"/>
    <w:rsid w:val="00980AE7"/>
    <w:rsid w:val="00980C33"/>
    <w:rsid w:val="00982AF7"/>
    <w:rsid w:val="0098392D"/>
    <w:rsid w:val="00983BD1"/>
    <w:rsid w:val="009843ED"/>
    <w:rsid w:val="00984E26"/>
    <w:rsid w:val="00984E35"/>
    <w:rsid w:val="00985B73"/>
    <w:rsid w:val="00986206"/>
    <w:rsid w:val="009865E1"/>
    <w:rsid w:val="00987F8A"/>
    <w:rsid w:val="00990200"/>
    <w:rsid w:val="009908DB"/>
    <w:rsid w:val="00990DF5"/>
    <w:rsid w:val="0099161D"/>
    <w:rsid w:val="00991D17"/>
    <w:rsid w:val="009929F1"/>
    <w:rsid w:val="00992A43"/>
    <w:rsid w:val="00996644"/>
    <w:rsid w:val="00996C2F"/>
    <w:rsid w:val="00996D29"/>
    <w:rsid w:val="009A0666"/>
    <w:rsid w:val="009A1E28"/>
    <w:rsid w:val="009A2D23"/>
    <w:rsid w:val="009A3B2B"/>
    <w:rsid w:val="009A5239"/>
    <w:rsid w:val="009A720A"/>
    <w:rsid w:val="009B02DB"/>
    <w:rsid w:val="009B0BDF"/>
    <w:rsid w:val="009B14F9"/>
    <w:rsid w:val="009B3D66"/>
    <w:rsid w:val="009B3DA2"/>
    <w:rsid w:val="009B3E21"/>
    <w:rsid w:val="009B453F"/>
    <w:rsid w:val="009B4C70"/>
    <w:rsid w:val="009B7602"/>
    <w:rsid w:val="009C018C"/>
    <w:rsid w:val="009C1547"/>
    <w:rsid w:val="009C1FA3"/>
    <w:rsid w:val="009C2752"/>
    <w:rsid w:val="009C28ED"/>
    <w:rsid w:val="009C3F35"/>
    <w:rsid w:val="009C4198"/>
    <w:rsid w:val="009C4798"/>
    <w:rsid w:val="009C5DB7"/>
    <w:rsid w:val="009C69FA"/>
    <w:rsid w:val="009C7166"/>
    <w:rsid w:val="009C73FD"/>
    <w:rsid w:val="009C789A"/>
    <w:rsid w:val="009D0CB4"/>
    <w:rsid w:val="009D3292"/>
    <w:rsid w:val="009D37C7"/>
    <w:rsid w:val="009D3CC7"/>
    <w:rsid w:val="009D3E36"/>
    <w:rsid w:val="009D415D"/>
    <w:rsid w:val="009D59BF"/>
    <w:rsid w:val="009D618B"/>
    <w:rsid w:val="009E02EC"/>
    <w:rsid w:val="009E1083"/>
    <w:rsid w:val="009E154F"/>
    <w:rsid w:val="009E160B"/>
    <w:rsid w:val="009E1B03"/>
    <w:rsid w:val="009E27CD"/>
    <w:rsid w:val="009E3C83"/>
    <w:rsid w:val="009E3D2B"/>
    <w:rsid w:val="009E4CC9"/>
    <w:rsid w:val="009E4F4A"/>
    <w:rsid w:val="009E6BD5"/>
    <w:rsid w:val="009E751F"/>
    <w:rsid w:val="009E7A46"/>
    <w:rsid w:val="009F0655"/>
    <w:rsid w:val="009F0C74"/>
    <w:rsid w:val="009F16A3"/>
    <w:rsid w:val="009F1892"/>
    <w:rsid w:val="009F2486"/>
    <w:rsid w:val="009F2776"/>
    <w:rsid w:val="009F2F6A"/>
    <w:rsid w:val="009F3256"/>
    <w:rsid w:val="009F344E"/>
    <w:rsid w:val="009F387E"/>
    <w:rsid w:val="009F3945"/>
    <w:rsid w:val="009F3EC1"/>
    <w:rsid w:val="009F3F30"/>
    <w:rsid w:val="009F4369"/>
    <w:rsid w:val="009F4D7A"/>
    <w:rsid w:val="009F51B0"/>
    <w:rsid w:val="009F5472"/>
    <w:rsid w:val="009F5A85"/>
    <w:rsid w:val="009F6A37"/>
    <w:rsid w:val="009F6F76"/>
    <w:rsid w:val="009F7C01"/>
    <w:rsid w:val="009F7E63"/>
    <w:rsid w:val="00A00146"/>
    <w:rsid w:val="00A005B7"/>
    <w:rsid w:val="00A008B8"/>
    <w:rsid w:val="00A009AD"/>
    <w:rsid w:val="00A04340"/>
    <w:rsid w:val="00A053E2"/>
    <w:rsid w:val="00A06A9A"/>
    <w:rsid w:val="00A06BC3"/>
    <w:rsid w:val="00A07D47"/>
    <w:rsid w:val="00A10358"/>
    <w:rsid w:val="00A10500"/>
    <w:rsid w:val="00A129F9"/>
    <w:rsid w:val="00A137B7"/>
    <w:rsid w:val="00A139A6"/>
    <w:rsid w:val="00A14969"/>
    <w:rsid w:val="00A15880"/>
    <w:rsid w:val="00A15C3A"/>
    <w:rsid w:val="00A17A37"/>
    <w:rsid w:val="00A21688"/>
    <w:rsid w:val="00A22207"/>
    <w:rsid w:val="00A23328"/>
    <w:rsid w:val="00A23A4F"/>
    <w:rsid w:val="00A2500D"/>
    <w:rsid w:val="00A258D1"/>
    <w:rsid w:val="00A25B0F"/>
    <w:rsid w:val="00A26CF2"/>
    <w:rsid w:val="00A27129"/>
    <w:rsid w:val="00A27C7F"/>
    <w:rsid w:val="00A3196A"/>
    <w:rsid w:val="00A3444E"/>
    <w:rsid w:val="00A360FC"/>
    <w:rsid w:val="00A375A5"/>
    <w:rsid w:val="00A37B06"/>
    <w:rsid w:val="00A37C47"/>
    <w:rsid w:val="00A42D94"/>
    <w:rsid w:val="00A43F41"/>
    <w:rsid w:val="00A44FA9"/>
    <w:rsid w:val="00A4635D"/>
    <w:rsid w:val="00A46D8B"/>
    <w:rsid w:val="00A4786D"/>
    <w:rsid w:val="00A47DFF"/>
    <w:rsid w:val="00A50C11"/>
    <w:rsid w:val="00A50D21"/>
    <w:rsid w:val="00A52715"/>
    <w:rsid w:val="00A53961"/>
    <w:rsid w:val="00A53981"/>
    <w:rsid w:val="00A54CEB"/>
    <w:rsid w:val="00A56B07"/>
    <w:rsid w:val="00A56D38"/>
    <w:rsid w:val="00A57814"/>
    <w:rsid w:val="00A57D8C"/>
    <w:rsid w:val="00A57DEE"/>
    <w:rsid w:val="00A609C0"/>
    <w:rsid w:val="00A60A77"/>
    <w:rsid w:val="00A631C4"/>
    <w:rsid w:val="00A650A7"/>
    <w:rsid w:val="00A6548C"/>
    <w:rsid w:val="00A65C76"/>
    <w:rsid w:val="00A67DA1"/>
    <w:rsid w:val="00A71210"/>
    <w:rsid w:val="00A71B27"/>
    <w:rsid w:val="00A720B9"/>
    <w:rsid w:val="00A74682"/>
    <w:rsid w:val="00A746E7"/>
    <w:rsid w:val="00A75596"/>
    <w:rsid w:val="00A76E4E"/>
    <w:rsid w:val="00A7750E"/>
    <w:rsid w:val="00A77769"/>
    <w:rsid w:val="00A77A9C"/>
    <w:rsid w:val="00A80744"/>
    <w:rsid w:val="00A80824"/>
    <w:rsid w:val="00A80FF2"/>
    <w:rsid w:val="00A81F9F"/>
    <w:rsid w:val="00A824FC"/>
    <w:rsid w:val="00A82729"/>
    <w:rsid w:val="00A84A85"/>
    <w:rsid w:val="00A85490"/>
    <w:rsid w:val="00A85894"/>
    <w:rsid w:val="00A85E9F"/>
    <w:rsid w:val="00A863FD"/>
    <w:rsid w:val="00A864C8"/>
    <w:rsid w:val="00A86D36"/>
    <w:rsid w:val="00A86E17"/>
    <w:rsid w:val="00A90794"/>
    <w:rsid w:val="00A91021"/>
    <w:rsid w:val="00A913B2"/>
    <w:rsid w:val="00A92737"/>
    <w:rsid w:val="00A92D50"/>
    <w:rsid w:val="00A93535"/>
    <w:rsid w:val="00A93FF2"/>
    <w:rsid w:val="00A944DC"/>
    <w:rsid w:val="00A94B70"/>
    <w:rsid w:val="00A97B8C"/>
    <w:rsid w:val="00A97E8C"/>
    <w:rsid w:val="00AA1306"/>
    <w:rsid w:val="00AA1BAA"/>
    <w:rsid w:val="00AA21F7"/>
    <w:rsid w:val="00AA2B81"/>
    <w:rsid w:val="00AA45F7"/>
    <w:rsid w:val="00AA52CE"/>
    <w:rsid w:val="00AA6A1B"/>
    <w:rsid w:val="00AA7E2F"/>
    <w:rsid w:val="00AA7F4A"/>
    <w:rsid w:val="00AB0823"/>
    <w:rsid w:val="00AB0A2F"/>
    <w:rsid w:val="00AB1527"/>
    <w:rsid w:val="00AB2154"/>
    <w:rsid w:val="00AB27D7"/>
    <w:rsid w:val="00AB3ED1"/>
    <w:rsid w:val="00AB5182"/>
    <w:rsid w:val="00AB5303"/>
    <w:rsid w:val="00AB5AD4"/>
    <w:rsid w:val="00AB6769"/>
    <w:rsid w:val="00AB6DE3"/>
    <w:rsid w:val="00AB728B"/>
    <w:rsid w:val="00AC0A20"/>
    <w:rsid w:val="00AC1197"/>
    <w:rsid w:val="00AC208C"/>
    <w:rsid w:val="00AC2820"/>
    <w:rsid w:val="00AC3B0F"/>
    <w:rsid w:val="00AC432A"/>
    <w:rsid w:val="00AC4C82"/>
    <w:rsid w:val="00AC5573"/>
    <w:rsid w:val="00AC55DB"/>
    <w:rsid w:val="00AC585C"/>
    <w:rsid w:val="00AC5C90"/>
    <w:rsid w:val="00AC5EBC"/>
    <w:rsid w:val="00AC64E0"/>
    <w:rsid w:val="00AC7EA0"/>
    <w:rsid w:val="00AD0A4A"/>
    <w:rsid w:val="00AD1866"/>
    <w:rsid w:val="00AD2B7C"/>
    <w:rsid w:val="00AD2ED6"/>
    <w:rsid w:val="00AD2F50"/>
    <w:rsid w:val="00AD3721"/>
    <w:rsid w:val="00AD4663"/>
    <w:rsid w:val="00AD4BF2"/>
    <w:rsid w:val="00AD53C3"/>
    <w:rsid w:val="00AD5E2B"/>
    <w:rsid w:val="00AD6779"/>
    <w:rsid w:val="00AE02EE"/>
    <w:rsid w:val="00AE104B"/>
    <w:rsid w:val="00AE1B2D"/>
    <w:rsid w:val="00AE27FE"/>
    <w:rsid w:val="00AE345C"/>
    <w:rsid w:val="00AE3890"/>
    <w:rsid w:val="00AE4C38"/>
    <w:rsid w:val="00AE53A6"/>
    <w:rsid w:val="00AE6092"/>
    <w:rsid w:val="00AE62AB"/>
    <w:rsid w:val="00AE6D27"/>
    <w:rsid w:val="00AE72A9"/>
    <w:rsid w:val="00AE740A"/>
    <w:rsid w:val="00AE79F4"/>
    <w:rsid w:val="00AE7E98"/>
    <w:rsid w:val="00AF0D40"/>
    <w:rsid w:val="00AF1B3A"/>
    <w:rsid w:val="00AF278B"/>
    <w:rsid w:val="00AF3C75"/>
    <w:rsid w:val="00AF3DFA"/>
    <w:rsid w:val="00AF40B4"/>
    <w:rsid w:val="00AF5DA2"/>
    <w:rsid w:val="00AF62E5"/>
    <w:rsid w:val="00AF7F47"/>
    <w:rsid w:val="00B00314"/>
    <w:rsid w:val="00B00B9F"/>
    <w:rsid w:val="00B01E8E"/>
    <w:rsid w:val="00B0304B"/>
    <w:rsid w:val="00B03A2A"/>
    <w:rsid w:val="00B04EEA"/>
    <w:rsid w:val="00B053FB"/>
    <w:rsid w:val="00B05478"/>
    <w:rsid w:val="00B05B12"/>
    <w:rsid w:val="00B061E8"/>
    <w:rsid w:val="00B079C7"/>
    <w:rsid w:val="00B11046"/>
    <w:rsid w:val="00B11A33"/>
    <w:rsid w:val="00B11F22"/>
    <w:rsid w:val="00B12207"/>
    <w:rsid w:val="00B133FE"/>
    <w:rsid w:val="00B15A73"/>
    <w:rsid w:val="00B15B15"/>
    <w:rsid w:val="00B15CEE"/>
    <w:rsid w:val="00B15E1C"/>
    <w:rsid w:val="00B16092"/>
    <w:rsid w:val="00B1652A"/>
    <w:rsid w:val="00B16E10"/>
    <w:rsid w:val="00B17C53"/>
    <w:rsid w:val="00B17E32"/>
    <w:rsid w:val="00B21A56"/>
    <w:rsid w:val="00B220E8"/>
    <w:rsid w:val="00B22CB2"/>
    <w:rsid w:val="00B23649"/>
    <w:rsid w:val="00B23710"/>
    <w:rsid w:val="00B24F38"/>
    <w:rsid w:val="00B256BF"/>
    <w:rsid w:val="00B26425"/>
    <w:rsid w:val="00B26571"/>
    <w:rsid w:val="00B26A97"/>
    <w:rsid w:val="00B27438"/>
    <w:rsid w:val="00B304DA"/>
    <w:rsid w:val="00B307A6"/>
    <w:rsid w:val="00B308F5"/>
    <w:rsid w:val="00B30B93"/>
    <w:rsid w:val="00B315CC"/>
    <w:rsid w:val="00B32519"/>
    <w:rsid w:val="00B32F7C"/>
    <w:rsid w:val="00B33852"/>
    <w:rsid w:val="00B344C7"/>
    <w:rsid w:val="00B358E6"/>
    <w:rsid w:val="00B35FBA"/>
    <w:rsid w:val="00B40614"/>
    <w:rsid w:val="00B40E3B"/>
    <w:rsid w:val="00B4204D"/>
    <w:rsid w:val="00B42091"/>
    <w:rsid w:val="00B4419B"/>
    <w:rsid w:val="00B44A42"/>
    <w:rsid w:val="00B45078"/>
    <w:rsid w:val="00B45502"/>
    <w:rsid w:val="00B4695C"/>
    <w:rsid w:val="00B46B60"/>
    <w:rsid w:val="00B47058"/>
    <w:rsid w:val="00B50235"/>
    <w:rsid w:val="00B50351"/>
    <w:rsid w:val="00B5112B"/>
    <w:rsid w:val="00B517BC"/>
    <w:rsid w:val="00B520B3"/>
    <w:rsid w:val="00B54D59"/>
    <w:rsid w:val="00B54FCB"/>
    <w:rsid w:val="00B610D8"/>
    <w:rsid w:val="00B61E85"/>
    <w:rsid w:val="00B62023"/>
    <w:rsid w:val="00B62C30"/>
    <w:rsid w:val="00B62E86"/>
    <w:rsid w:val="00B64085"/>
    <w:rsid w:val="00B64606"/>
    <w:rsid w:val="00B65762"/>
    <w:rsid w:val="00B6687E"/>
    <w:rsid w:val="00B67F55"/>
    <w:rsid w:val="00B70208"/>
    <w:rsid w:val="00B70675"/>
    <w:rsid w:val="00B70932"/>
    <w:rsid w:val="00B7128F"/>
    <w:rsid w:val="00B7138F"/>
    <w:rsid w:val="00B719B8"/>
    <w:rsid w:val="00B72766"/>
    <w:rsid w:val="00B72A3B"/>
    <w:rsid w:val="00B739CC"/>
    <w:rsid w:val="00B73D5D"/>
    <w:rsid w:val="00B7589A"/>
    <w:rsid w:val="00B769EB"/>
    <w:rsid w:val="00B81E21"/>
    <w:rsid w:val="00B82C26"/>
    <w:rsid w:val="00B82D3B"/>
    <w:rsid w:val="00B85325"/>
    <w:rsid w:val="00B8546F"/>
    <w:rsid w:val="00B85C4C"/>
    <w:rsid w:val="00B860CE"/>
    <w:rsid w:val="00B87A34"/>
    <w:rsid w:val="00B87C31"/>
    <w:rsid w:val="00B87C53"/>
    <w:rsid w:val="00B91089"/>
    <w:rsid w:val="00B916E5"/>
    <w:rsid w:val="00B923D6"/>
    <w:rsid w:val="00B931A1"/>
    <w:rsid w:val="00B932BD"/>
    <w:rsid w:val="00B9454F"/>
    <w:rsid w:val="00B94879"/>
    <w:rsid w:val="00B95039"/>
    <w:rsid w:val="00B95DC1"/>
    <w:rsid w:val="00B97121"/>
    <w:rsid w:val="00B97A60"/>
    <w:rsid w:val="00B97AAE"/>
    <w:rsid w:val="00BA098A"/>
    <w:rsid w:val="00BA2CDC"/>
    <w:rsid w:val="00BA3508"/>
    <w:rsid w:val="00BA380F"/>
    <w:rsid w:val="00BA3F93"/>
    <w:rsid w:val="00BA5194"/>
    <w:rsid w:val="00BA5744"/>
    <w:rsid w:val="00BA5CDC"/>
    <w:rsid w:val="00BA5F0D"/>
    <w:rsid w:val="00BA6069"/>
    <w:rsid w:val="00BA678D"/>
    <w:rsid w:val="00BA77A8"/>
    <w:rsid w:val="00BA7E4C"/>
    <w:rsid w:val="00BA7EB8"/>
    <w:rsid w:val="00BB16FA"/>
    <w:rsid w:val="00BB1DDF"/>
    <w:rsid w:val="00BB2773"/>
    <w:rsid w:val="00BB56F6"/>
    <w:rsid w:val="00BB64FF"/>
    <w:rsid w:val="00BB727A"/>
    <w:rsid w:val="00BC2A6D"/>
    <w:rsid w:val="00BC3209"/>
    <w:rsid w:val="00BC3270"/>
    <w:rsid w:val="00BC3625"/>
    <w:rsid w:val="00BC3A45"/>
    <w:rsid w:val="00BC43E3"/>
    <w:rsid w:val="00BC4C57"/>
    <w:rsid w:val="00BC6959"/>
    <w:rsid w:val="00BC69E7"/>
    <w:rsid w:val="00BC6F7C"/>
    <w:rsid w:val="00BC7FC2"/>
    <w:rsid w:val="00BD02BF"/>
    <w:rsid w:val="00BD1EEF"/>
    <w:rsid w:val="00BD2161"/>
    <w:rsid w:val="00BD2EB0"/>
    <w:rsid w:val="00BD5534"/>
    <w:rsid w:val="00BD75D0"/>
    <w:rsid w:val="00BD7799"/>
    <w:rsid w:val="00BD7E74"/>
    <w:rsid w:val="00BE0F1E"/>
    <w:rsid w:val="00BE2EAA"/>
    <w:rsid w:val="00BE3930"/>
    <w:rsid w:val="00BE4D1B"/>
    <w:rsid w:val="00BE51AF"/>
    <w:rsid w:val="00BE7269"/>
    <w:rsid w:val="00BE72DD"/>
    <w:rsid w:val="00BE749D"/>
    <w:rsid w:val="00BF1639"/>
    <w:rsid w:val="00BF2A06"/>
    <w:rsid w:val="00BF589F"/>
    <w:rsid w:val="00BF5CAA"/>
    <w:rsid w:val="00BF77D4"/>
    <w:rsid w:val="00BF7A4F"/>
    <w:rsid w:val="00C00B27"/>
    <w:rsid w:val="00C01057"/>
    <w:rsid w:val="00C01F64"/>
    <w:rsid w:val="00C02017"/>
    <w:rsid w:val="00C03DC4"/>
    <w:rsid w:val="00C04664"/>
    <w:rsid w:val="00C05F5F"/>
    <w:rsid w:val="00C064CA"/>
    <w:rsid w:val="00C075AD"/>
    <w:rsid w:val="00C10136"/>
    <w:rsid w:val="00C10485"/>
    <w:rsid w:val="00C107C8"/>
    <w:rsid w:val="00C109DA"/>
    <w:rsid w:val="00C125E0"/>
    <w:rsid w:val="00C15275"/>
    <w:rsid w:val="00C17047"/>
    <w:rsid w:val="00C1761D"/>
    <w:rsid w:val="00C17870"/>
    <w:rsid w:val="00C207D0"/>
    <w:rsid w:val="00C20A61"/>
    <w:rsid w:val="00C216BD"/>
    <w:rsid w:val="00C23355"/>
    <w:rsid w:val="00C235BD"/>
    <w:rsid w:val="00C23A22"/>
    <w:rsid w:val="00C25755"/>
    <w:rsid w:val="00C26013"/>
    <w:rsid w:val="00C26B73"/>
    <w:rsid w:val="00C27064"/>
    <w:rsid w:val="00C27AC4"/>
    <w:rsid w:val="00C30CF5"/>
    <w:rsid w:val="00C30E26"/>
    <w:rsid w:val="00C31C5A"/>
    <w:rsid w:val="00C31E12"/>
    <w:rsid w:val="00C33B4A"/>
    <w:rsid w:val="00C34058"/>
    <w:rsid w:val="00C37574"/>
    <w:rsid w:val="00C379A2"/>
    <w:rsid w:val="00C37CCE"/>
    <w:rsid w:val="00C4025C"/>
    <w:rsid w:val="00C40340"/>
    <w:rsid w:val="00C40699"/>
    <w:rsid w:val="00C41055"/>
    <w:rsid w:val="00C418C5"/>
    <w:rsid w:val="00C41E42"/>
    <w:rsid w:val="00C426E6"/>
    <w:rsid w:val="00C42941"/>
    <w:rsid w:val="00C447BD"/>
    <w:rsid w:val="00C44800"/>
    <w:rsid w:val="00C452D1"/>
    <w:rsid w:val="00C46534"/>
    <w:rsid w:val="00C503B8"/>
    <w:rsid w:val="00C51966"/>
    <w:rsid w:val="00C52218"/>
    <w:rsid w:val="00C5226E"/>
    <w:rsid w:val="00C52293"/>
    <w:rsid w:val="00C543A6"/>
    <w:rsid w:val="00C5474D"/>
    <w:rsid w:val="00C548E0"/>
    <w:rsid w:val="00C56877"/>
    <w:rsid w:val="00C56E52"/>
    <w:rsid w:val="00C56F3F"/>
    <w:rsid w:val="00C57BA0"/>
    <w:rsid w:val="00C57E4D"/>
    <w:rsid w:val="00C60F00"/>
    <w:rsid w:val="00C61C55"/>
    <w:rsid w:val="00C6291D"/>
    <w:rsid w:val="00C62AED"/>
    <w:rsid w:val="00C6412A"/>
    <w:rsid w:val="00C659D5"/>
    <w:rsid w:val="00C667E6"/>
    <w:rsid w:val="00C670CD"/>
    <w:rsid w:val="00C67424"/>
    <w:rsid w:val="00C676C2"/>
    <w:rsid w:val="00C70244"/>
    <w:rsid w:val="00C70D78"/>
    <w:rsid w:val="00C71718"/>
    <w:rsid w:val="00C724BE"/>
    <w:rsid w:val="00C727B4"/>
    <w:rsid w:val="00C7365E"/>
    <w:rsid w:val="00C747EB"/>
    <w:rsid w:val="00C76B0F"/>
    <w:rsid w:val="00C775CE"/>
    <w:rsid w:val="00C77E11"/>
    <w:rsid w:val="00C8002F"/>
    <w:rsid w:val="00C810D2"/>
    <w:rsid w:val="00C81444"/>
    <w:rsid w:val="00C82572"/>
    <w:rsid w:val="00C82A81"/>
    <w:rsid w:val="00C83B10"/>
    <w:rsid w:val="00C8470E"/>
    <w:rsid w:val="00C84E62"/>
    <w:rsid w:val="00C861AE"/>
    <w:rsid w:val="00C864E6"/>
    <w:rsid w:val="00C86D12"/>
    <w:rsid w:val="00C90E5B"/>
    <w:rsid w:val="00C92E65"/>
    <w:rsid w:val="00C92EAC"/>
    <w:rsid w:val="00C936CD"/>
    <w:rsid w:val="00C93CF1"/>
    <w:rsid w:val="00C95632"/>
    <w:rsid w:val="00C95E4A"/>
    <w:rsid w:val="00C96895"/>
    <w:rsid w:val="00C96E55"/>
    <w:rsid w:val="00C96E57"/>
    <w:rsid w:val="00CA0E5E"/>
    <w:rsid w:val="00CA12AF"/>
    <w:rsid w:val="00CA20B6"/>
    <w:rsid w:val="00CA23B4"/>
    <w:rsid w:val="00CA38D6"/>
    <w:rsid w:val="00CA39ED"/>
    <w:rsid w:val="00CA5320"/>
    <w:rsid w:val="00CA5F9C"/>
    <w:rsid w:val="00CA6FA3"/>
    <w:rsid w:val="00CA7158"/>
    <w:rsid w:val="00CA79FC"/>
    <w:rsid w:val="00CB0E27"/>
    <w:rsid w:val="00CB1EBF"/>
    <w:rsid w:val="00CB35DF"/>
    <w:rsid w:val="00CB3F0E"/>
    <w:rsid w:val="00CB48F1"/>
    <w:rsid w:val="00CB5BD9"/>
    <w:rsid w:val="00CB684A"/>
    <w:rsid w:val="00CC04E0"/>
    <w:rsid w:val="00CC0B4D"/>
    <w:rsid w:val="00CC1A53"/>
    <w:rsid w:val="00CC1D32"/>
    <w:rsid w:val="00CC20DE"/>
    <w:rsid w:val="00CC3581"/>
    <w:rsid w:val="00CC3CEE"/>
    <w:rsid w:val="00CC3F90"/>
    <w:rsid w:val="00CC5CC9"/>
    <w:rsid w:val="00CC5DCE"/>
    <w:rsid w:val="00CC6305"/>
    <w:rsid w:val="00CC698A"/>
    <w:rsid w:val="00CC7772"/>
    <w:rsid w:val="00CD1A9E"/>
    <w:rsid w:val="00CD243F"/>
    <w:rsid w:val="00CD2C63"/>
    <w:rsid w:val="00CD2F20"/>
    <w:rsid w:val="00CD2F5B"/>
    <w:rsid w:val="00CD3761"/>
    <w:rsid w:val="00CD386A"/>
    <w:rsid w:val="00CD47C0"/>
    <w:rsid w:val="00CD494C"/>
    <w:rsid w:val="00CD64A6"/>
    <w:rsid w:val="00CD6901"/>
    <w:rsid w:val="00CD740B"/>
    <w:rsid w:val="00CD7A3F"/>
    <w:rsid w:val="00CE00CC"/>
    <w:rsid w:val="00CE06FB"/>
    <w:rsid w:val="00CE42F4"/>
    <w:rsid w:val="00CE455B"/>
    <w:rsid w:val="00CE5A83"/>
    <w:rsid w:val="00CE653C"/>
    <w:rsid w:val="00CE68E6"/>
    <w:rsid w:val="00CE6BF1"/>
    <w:rsid w:val="00CE713F"/>
    <w:rsid w:val="00CF0837"/>
    <w:rsid w:val="00CF0A0D"/>
    <w:rsid w:val="00CF11F6"/>
    <w:rsid w:val="00CF16AA"/>
    <w:rsid w:val="00CF16ED"/>
    <w:rsid w:val="00CF31B3"/>
    <w:rsid w:val="00CF4214"/>
    <w:rsid w:val="00CF61CF"/>
    <w:rsid w:val="00D00988"/>
    <w:rsid w:val="00D012BD"/>
    <w:rsid w:val="00D01406"/>
    <w:rsid w:val="00D01C3A"/>
    <w:rsid w:val="00D034EA"/>
    <w:rsid w:val="00D03E69"/>
    <w:rsid w:val="00D0403E"/>
    <w:rsid w:val="00D04424"/>
    <w:rsid w:val="00D0576B"/>
    <w:rsid w:val="00D063E8"/>
    <w:rsid w:val="00D06DD2"/>
    <w:rsid w:val="00D06FB6"/>
    <w:rsid w:val="00D06FBA"/>
    <w:rsid w:val="00D07D07"/>
    <w:rsid w:val="00D1050C"/>
    <w:rsid w:val="00D10847"/>
    <w:rsid w:val="00D11A0B"/>
    <w:rsid w:val="00D12212"/>
    <w:rsid w:val="00D12D09"/>
    <w:rsid w:val="00D13101"/>
    <w:rsid w:val="00D1347B"/>
    <w:rsid w:val="00D13F11"/>
    <w:rsid w:val="00D15A52"/>
    <w:rsid w:val="00D15F58"/>
    <w:rsid w:val="00D209A2"/>
    <w:rsid w:val="00D21219"/>
    <w:rsid w:val="00D23283"/>
    <w:rsid w:val="00D2561C"/>
    <w:rsid w:val="00D26362"/>
    <w:rsid w:val="00D30887"/>
    <w:rsid w:val="00D32974"/>
    <w:rsid w:val="00D339B3"/>
    <w:rsid w:val="00D33EBE"/>
    <w:rsid w:val="00D33EEB"/>
    <w:rsid w:val="00D33F71"/>
    <w:rsid w:val="00D36720"/>
    <w:rsid w:val="00D36D19"/>
    <w:rsid w:val="00D37AB2"/>
    <w:rsid w:val="00D403D1"/>
    <w:rsid w:val="00D4047D"/>
    <w:rsid w:val="00D40BC8"/>
    <w:rsid w:val="00D40CAC"/>
    <w:rsid w:val="00D424C3"/>
    <w:rsid w:val="00D429D1"/>
    <w:rsid w:val="00D42CCC"/>
    <w:rsid w:val="00D43CD4"/>
    <w:rsid w:val="00D445B9"/>
    <w:rsid w:val="00D44FED"/>
    <w:rsid w:val="00D455E3"/>
    <w:rsid w:val="00D4615C"/>
    <w:rsid w:val="00D471EC"/>
    <w:rsid w:val="00D51747"/>
    <w:rsid w:val="00D52566"/>
    <w:rsid w:val="00D5269D"/>
    <w:rsid w:val="00D52C8B"/>
    <w:rsid w:val="00D53099"/>
    <w:rsid w:val="00D531E9"/>
    <w:rsid w:val="00D533D7"/>
    <w:rsid w:val="00D53F73"/>
    <w:rsid w:val="00D5431A"/>
    <w:rsid w:val="00D545B8"/>
    <w:rsid w:val="00D54686"/>
    <w:rsid w:val="00D5489B"/>
    <w:rsid w:val="00D54A3B"/>
    <w:rsid w:val="00D550D0"/>
    <w:rsid w:val="00D5510F"/>
    <w:rsid w:val="00D55144"/>
    <w:rsid w:val="00D557B6"/>
    <w:rsid w:val="00D558FD"/>
    <w:rsid w:val="00D56F41"/>
    <w:rsid w:val="00D56F91"/>
    <w:rsid w:val="00D57A48"/>
    <w:rsid w:val="00D60228"/>
    <w:rsid w:val="00D60A86"/>
    <w:rsid w:val="00D61181"/>
    <w:rsid w:val="00D630C6"/>
    <w:rsid w:val="00D64661"/>
    <w:rsid w:val="00D663D2"/>
    <w:rsid w:val="00D66B90"/>
    <w:rsid w:val="00D70C55"/>
    <w:rsid w:val="00D71976"/>
    <w:rsid w:val="00D71B0D"/>
    <w:rsid w:val="00D728C1"/>
    <w:rsid w:val="00D72A78"/>
    <w:rsid w:val="00D72E5F"/>
    <w:rsid w:val="00D7333C"/>
    <w:rsid w:val="00D73A04"/>
    <w:rsid w:val="00D75961"/>
    <w:rsid w:val="00D766F3"/>
    <w:rsid w:val="00D81BAD"/>
    <w:rsid w:val="00D83E96"/>
    <w:rsid w:val="00D85186"/>
    <w:rsid w:val="00D85884"/>
    <w:rsid w:val="00D8609E"/>
    <w:rsid w:val="00D87051"/>
    <w:rsid w:val="00D8782F"/>
    <w:rsid w:val="00D87F68"/>
    <w:rsid w:val="00D92707"/>
    <w:rsid w:val="00D9288C"/>
    <w:rsid w:val="00D92BC7"/>
    <w:rsid w:val="00D94540"/>
    <w:rsid w:val="00D95C5D"/>
    <w:rsid w:val="00D961DE"/>
    <w:rsid w:val="00D97339"/>
    <w:rsid w:val="00D977A0"/>
    <w:rsid w:val="00DA0B3C"/>
    <w:rsid w:val="00DA10EE"/>
    <w:rsid w:val="00DA114A"/>
    <w:rsid w:val="00DA2B6C"/>
    <w:rsid w:val="00DA2CC9"/>
    <w:rsid w:val="00DA2D19"/>
    <w:rsid w:val="00DA3099"/>
    <w:rsid w:val="00DA3DAB"/>
    <w:rsid w:val="00DA3DFD"/>
    <w:rsid w:val="00DA4245"/>
    <w:rsid w:val="00DA519E"/>
    <w:rsid w:val="00DA78CA"/>
    <w:rsid w:val="00DA7EB3"/>
    <w:rsid w:val="00DB0FEE"/>
    <w:rsid w:val="00DB264F"/>
    <w:rsid w:val="00DB27B2"/>
    <w:rsid w:val="00DB2CED"/>
    <w:rsid w:val="00DB37F1"/>
    <w:rsid w:val="00DB3825"/>
    <w:rsid w:val="00DB4300"/>
    <w:rsid w:val="00DB4B88"/>
    <w:rsid w:val="00DB546B"/>
    <w:rsid w:val="00DB6A88"/>
    <w:rsid w:val="00DB6C6C"/>
    <w:rsid w:val="00DB7D63"/>
    <w:rsid w:val="00DC013B"/>
    <w:rsid w:val="00DC0E1F"/>
    <w:rsid w:val="00DC12E4"/>
    <w:rsid w:val="00DC1E0F"/>
    <w:rsid w:val="00DC26A3"/>
    <w:rsid w:val="00DC2B0C"/>
    <w:rsid w:val="00DC2C68"/>
    <w:rsid w:val="00DC4425"/>
    <w:rsid w:val="00DC4A7A"/>
    <w:rsid w:val="00DC5EC3"/>
    <w:rsid w:val="00DC78E8"/>
    <w:rsid w:val="00DD2761"/>
    <w:rsid w:val="00DD2ED2"/>
    <w:rsid w:val="00DD3735"/>
    <w:rsid w:val="00DD4F7B"/>
    <w:rsid w:val="00DD4FD7"/>
    <w:rsid w:val="00DD5258"/>
    <w:rsid w:val="00DD52BB"/>
    <w:rsid w:val="00DD7674"/>
    <w:rsid w:val="00DD7732"/>
    <w:rsid w:val="00DD7CBC"/>
    <w:rsid w:val="00DE05CF"/>
    <w:rsid w:val="00DE064E"/>
    <w:rsid w:val="00DE1172"/>
    <w:rsid w:val="00DE130C"/>
    <w:rsid w:val="00DE1A32"/>
    <w:rsid w:val="00DE1D5C"/>
    <w:rsid w:val="00DE3076"/>
    <w:rsid w:val="00DE4643"/>
    <w:rsid w:val="00DE5814"/>
    <w:rsid w:val="00DE6417"/>
    <w:rsid w:val="00DE6869"/>
    <w:rsid w:val="00DE6E07"/>
    <w:rsid w:val="00DE70C4"/>
    <w:rsid w:val="00DE7A20"/>
    <w:rsid w:val="00DF15DC"/>
    <w:rsid w:val="00DF1788"/>
    <w:rsid w:val="00DF1EF0"/>
    <w:rsid w:val="00DF23F9"/>
    <w:rsid w:val="00DF2E91"/>
    <w:rsid w:val="00DF4589"/>
    <w:rsid w:val="00DF5083"/>
    <w:rsid w:val="00DF510F"/>
    <w:rsid w:val="00DF5B50"/>
    <w:rsid w:val="00DF5E90"/>
    <w:rsid w:val="00DF633D"/>
    <w:rsid w:val="00DF6D4A"/>
    <w:rsid w:val="00DF70C9"/>
    <w:rsid w:val="00E0130C"/>
    <w:rsid w:val="00E0134F"/>
    <w:rsid w:val="00E01FCD"/>
    <w:rsid w:val="00E03681"/>
    <w:rsid w:val="00E03F32"/>
    <w:rsid w:val="00E05EFC"/>
    <w:rsid w:val="00E063A5"/>
    <w:rsid w:val="00E10695"/>
    <w:rsid w:val="00E11B41"/>
    <w:rsid w:val="00E133A6"/>
    <w:rsid w:val="00E13ACE"/>
    <w:rsid w:val="00E15D1A"/>
    <w:rsid w:val="00E1627C"/>
    <w:rsid w:val="00E1666A"/>
    <w:rsid w:val="00E17652"/>
    <w:rsid w:val="00E17E25"/>
    <w:rsid w:val="00E2201C"/>
    <w:rsid w:val="00E223E8"/>
    <w:rsid w:val="00E2252D"/>
    <w:rsid w:val="00E22868"/>
    <w:rsid w:val="00E2351B"/>
    <w:rsid w:val="00E239ED"/>
    <w:rsid w:val="00E30202"/>
    <w:rsid w:val="00E303F2"/>
    <w:rsid w:val="00E30902"/>
    <w:rsid w:val="00E3237E"/>
    <w:rsid w:val="00E323BA"/>
    <w:rsid w:val="00E32756"/>
    <w:rsid w:val="00E3298F"/>
    <w:rsid w:val="00E329A1"/>
    <w:rsid w:val="00E33177"/>
    <w:rsid w:val="00E355E1"/>
    <w:rsid w:val="00E35B65"/>
    <w:rsid w:val="00E36411"/>
    <w:rsid w:val="00E369EE"/>
    <w:rsid w:val="00E36D67"/>
    <w:rsid w:val="00E374D0"/>
    <w:rsid w:val="00E3767F"/>
    <w:rsid w:val="00E41CBD"/>
    <w:rsid w:val="00E42049"/>
    <w:rsid w:val="00E43276"/>
    <w:rsid w:val="00E43652"/>
    <w:rsid w:val="00E437A7"/>
    <w:rsid w:val="00E44AA6"/>
    <w:rsid w:val="00E45AD2"/>
    <w:rsid w:val="00E45E81"/>
    <w:rsid w:val="00E467D6"/>
    <w:rsid w:val="00E47702"/>
    <w:rsid w:val="00E47B2A"/>
    <w:rsid w:val="00E500DD"/>
    <w:rsid w:val="00E5059F"/>
    <w:rsid w:val="00E5193F"/>
    <w:rsid w:val="00E52EB2"/>
    <w:rsid w:val="00E53633"/>
    <w:rsid w:val="00E54ADF"/>
    <w:rsid w:val="00E54D25"/>
    <w:rsid w:val="00E5547F"/>
    <w:rsid w:val="00E56028"/>
    <w:rsid w:val="00E5648B"/>
    <w:rsid w:val="00E573A9"/>
    <w:rsid w:val="00E57D32"/>
    <w:rsid w:val="00E607A5"/>
    <w:rsid w:val="00E618A0"/>
    <w:rsid w:val="00E62398"/>
    <w:rsid w:val="00E623AC"/>
    <w:rsid w:val="00E6447A"/>
    <w:rsid w:val="00E6490F"/>
    <w:rsid w:val="00E64CED"/>
    <w:rsid w:val="00E6603F"/>
    <w:rsid w:val="00E6674A"/>
    <w:rsid w:val="00E67B3D"/>
    <w:rsid w:val="00E71159"/>
    <w:rsid w:val="00E712E8"/>
    <w:rsid w:val="00E724C4"/>
    <w:rsid w:val="00E7469B"/>
    <w:rsid w:val="00E75AF2"/>
    <w:rsid w:val="00E80A9A"/>
    <w:rsid w:val="00E82212"/>
    <w:rsid w:val="00E823FB"/>
    <w:rsid w:val="00E8271C"/>
    <w:rsid w:val="00E827E8"/>
    <w:rsid w:val="00E83375"/>
    <w:rsid w:val="00E842E5"/>
    <w:rsid w:val="00E85E05"/>
    <w:rsid w:val="00E86001"/>
    <w:rsid w:val="00E86749"/>
    <w:rsid w:val="00E86B08"/>
    <w:rsid w:val="00E872DD"/>
    <w:rsid w:val="00E87300"/>
    <w:rsid w:val="00E87C9C"/>
    <w:rsid w:val="00E87ED7"/>
    <w:rsid w:val="00E90372"/>
    <w:rsid w:val="00E907B0"/>
    <w:rsid w:val="00E9142D"/>
    <w:rsid w:val="00E92DE2"/>
    <w:rsid w:val="00E931F2"/>
    <w:rsid w:val="00E93316"/>
    <w:rsid w:val="00E943AD"/>
    <w:rsid w:val="00E94568"/>
    <w:rsid w:val="00E94816"/>
    <w:rsid w:val="00E94D0B"/>
    <w:rsid w:val="00E94D10"/>
    <w:rsid w:val="00E94F48"/>
    <w:rsid w:val="00E95DF1"/>
    <w:rsid w:val="00E966B4"/>
    <w:rsid w:val="00E96B96"/>
    <w:rsid w:val="00E9772A"/>
    <w:rsid w:val="00EA02E5"/>
    <w:rsid w:val="00EA1E30"/>
    <w:rsid w:val="00EA2B77"/>
    <w:rsid w:val="00EA2F13"/>
    <w:rsid w:val="00EA3AD3"/>
    <w:rsid w:val="00EA46E5"/>
    <w:rsid w:val="00EA4ED8"/>
    <w:rsid w:val="00EA6D7D"/>
    <w:rsid w:val="00EA6EC3"/>
    <w:rsid w:val="00EA6ED2"/>
    <w:rsid w:val="00EA7BB1"/>
    <w:rsid w:val="00EB025F"/>
    <w:rsid w:val="00EB0EF2"/>
    <w:rsid w:val="00EB1301"/>
    <w:rsid w:val="00EB1DEE"/>
    <w:rsid w:val="00EB2A42"/>
    <w:rsid w:val="00EB3946"/>
    <w:rsid w:val="00EB3D99"/>
    <w:rsid w:val="00EB44F6"/>
    <w:rsid w:val="00EB49F3"/>
    <w:rsid w:val="00EB67D7"/>
    <w:rsid w:val="00EB68A1"/>
    <w:rsid w:val="00EB736D"/>
    <w:rsid w:val="00EC151D"/>
    <w:rsid w:val="00EC17A0"/>
    <w:rsid w:val="00EC50F8"/>
    <w:rsid w:val="00EC52BE"/>
    <w:rsid w:val="00EC54AE"/>
    <w:rsid w:val="00EC6128"/>
    <w:rsid w:val="00ED06F1"/>
    <w:rsid w:val="00ED0C51"/>
    <w:rsid w:val="00ED0CBD"/>
    <w:rsid w:val="00ED259C"/>
    <w:rsid w:val="00ED2FC3"/>
    <w:rsid w:val="00ED3C72"/>
    <w:rsid w:val="00ED3E29"/>
    <w:rsid w:val="00ED4818"/>
    <w:rsid w:val="00ED55E4"/>
    <w:rsid w:val="00ED6180"/>
    <w:rsid w:val="00ED631B"/>
    <w:rsid w:val="00ED70B3"/>
    <w:rsid w:val="00ED7201"/>
    <w:rsid w:val="00EE0D7E"/>
    <w:rsid w:val="00EE1607"/>
    <w:rsid w:val="00EE2A62"/>
    <w:rsid w:val="00EE2E4C"/>
    <w:rsid w:val="00EE3148"/>
    <w:rsid w:val="00EE3AB2"/>
    <w:rsid w:val="00EE52DC"/>
    <w:rsid w:val="00EE5F9A"/>
    <w:rsid w:val="00EE7B3D"/>
    <w:rsid w:val="00EE7CA9"/>
    <w:rsid w:val="00EF0A1E"/>
    <w:rsid w:val="00EF1A71"/>
    <w:rsid w:val="00EF1B91"/>
    <w:rsid w:val="00EF222E"/>
    <w:rsid w:val="00EF27E2"/>
    <w:rsid w:val="00EF3DFF"/>
    <w:rsid w:val="00EF4AAD"/>
    <w:rsid w:val="00EF619C"/>
    <w:rsid w:val="00EF6267"/>
    <w:rsid w:val="00EF7F87"/>
    <w:rsid w:val="00F002BB"/>
    <w:rsid w:val="00F01664"/>
    <w:rsid w:val="00F02037"/>
    <w:rsid w:val="00F038D8"/>
    <w:rsid w:val="00F05CD1"/>
    <w:rsid w:val="00F06B93"/>
    <w:rsid w:val="00F07823"/>
    <w:rsid w:val="00F10CB0"/>
    <w:rsid w:val="00F11BE2"/>
    <w:rsid w:val="00F12305"/>
    <w:rsid w:val="00F13CFA"/>
    <w:rsid w:val="00F13EAC"/>
    <w:rsid w:val="00F15637"/>
    <w:rsid w:val="00F156CF"/>
    <w:rsid w:val="00F15A26"/>
    <w:rsid w:val="00F15C73"/>
    <w:rsid w:val="00F15EF4"/>
    <w:rsid w:val="00F160C7"/>
    <w:rsid w:val="00F20638"/>
    <w:rsid w:val="00F21795"/>
    <w:rsid w:val="00F25803"/>
    <w:rsid w:val="00F2758B"/>
    <w:rsid w:val="00F27919"/>
    <w:rsid w:val="00F2797C"/>
    <w:rsid w:val="00F30E6C"/>
    <w:rsid w:val="00F33EBE"/>
    <w:rsid w:val="00F35A90"/>
    <w:rsid w:val="00F36F66"/>
    <w:rsid w:val="00F40A6F"/>
    <w:rsid w:val="00F41716"/>
    <w:rsid w:val="00F41BEC"/>
    <w:rsid w:val="00F41EB6"/>
    <w:rsid w:val="00F42579"/>
    <w:rsid w:val="00F42BAB"/>
    <w:rsid w:val="00F43E97"/>
    <w:rsid w:val="00F44225"/>
    <w:rsid w:val="00F44409"/>
    <w:rsid w:val="00F4520C"/>
    <w:rsid w:val="00F4650E"/>
    <w:rsid w:val="00F46C85"/>
    <w:rsid w:val="00F475F2"/>
    <w:rsid w:val="00F476FD"/>
    <w:rsid w:val="00F479F3"/>
    <w:rsid w:val="00F50BB1"/>
    <w:rsid w:val="00F51F4B"/>
    <w:rsid w:val="00F5228A"/>
    <w:rsid w:val="00F53580"/>
    <w:rsid w:val="00F53661"/>
    <w:rsid w:val="00F53916"/>
    <w:rsid w:val="00F53BF4"/>
    <w:rsid w:val="00F542F3"/>
    <w:rsid w:val="00F5443D"/>
    <w:rsid w:val="00F54E7F"/>
    <w:rsid w:val="00F5514C"/>
    <w:rsid w:val="00F557C5"/>
    <w:rsid w:val="00F561E7"/>
    <w:rsid w:val="00F56452"/>
    <w:rsid w:val="00F57DC6"/>
    <w:rsid w:val="00F61027"/>
    <w:rsid w:val="00F6472C"/>
    <w:rsid w:val="00F64F62"/>
    <w:rsid w:val="00F64FDE"/>
    <w:rsid w:val="00F6545D"/>
    <w:rsid w:val="00F65929"/>
    <w:rsid w:val="00F67DBF"/>
    <w:rsid w:val="00F702B2"/>
    <w:rsid w:val="00F7189B"/>
    <w:rsid w:val="00F71EB2"/>
    <w:rsid w:val="00F72389"/>
    <w:rsid w:val="00F72542"/>
    <w:rsid w:val="00F73D45"/>
    <w:rsid w:val="00F74864"/>
    <w:rsid w:val="00F76F08"/>
    <w:rsid w:val="00F77C80"/>
    <w:rsid w:val="00F80095"/>
    <w:rsid w:val="00F818DB"/>
    <w:rsid w:val="00F81B88"/>
    <w:rsid w:val="00F825BD"/>
    <w:rsid w:val="00F82858"/>
    <w:rsid w:val="00F82912"/>
    <w:rsid w:val="00F8461F"/>
    <w:rsid w:val="00F8550E"/>
    <w:rsid w:val="00F85688"/>
    <w:rsid w:val="00F85BB0"/>
    <w:rsid w:val="00F87611"/>
    <w:rsid w:val="00F9113C"/>
    <w:rsid w:val="00F928BA"/>
    <w:rsid w:val="00F93599"/>
    <w:rsid w:val="00F9372B"/>
    <w:rsid w:val="00F93F88"/>
    <w:rsid w:val="00F943DD"/>
    <w:rsid w:val="00F95872"/>
    <w:rsid w:val="00F95AD5"/>
    <w:rsid w:val="00F96DAC"/>
    <w:rsid w:val="00F97531"/>
    <w:rsid w:val="00F97A66"/>
    <w:rsid w:val="00FA13DC"/>
    <w:rsid w:val="00FA17C7"/>
    <w:rsid w:val="00FA2129"/>
    <w:rsid w:val="00FA285A"/>
    <w:rsid w:val="00FA2FA5"/>
    <w:rsid w:val="00FA373B"/>
    <w:rsid w:val="00FA3959"/>
    <w:rsid w:val="00FA4019"/>
    <w:rsid w:val="00FA43E5"/>
    <w:rsid w:val="00FA507D"/>
    <w:rsid w:val="00FA67F9"/>
    <w:rsid w:val="00FB09B6"/>
    <w:rsid w:val="00FB1D85"/>
    <w:rsid w:val="00FB208B"/>
    <w:rsid w:val="00FB2AE0"/>
    <w:rsid w:val="00FB371D"/>
    <w:rsid w:val="00FB3C96"/>
    <w:rsid w:val="00FB518A"/>
    <w:rsid w:val="00FB58AF"/>
    <w:rsid w:val="00FB6F2C"/>
    <w:rsid w:val="00FC0908"/>
    <w:rsid w:val="00FC21A5"/>
    <w:rsid w:val="00FC2FC2"/>
    <w:rsid w:val="00FC31F3"/>
    <w:rsid w:val="00FC328B"/>
    <w:rsid w:val="00FC3356"/>
    <w:rsid w:val="00FC3F9A"/>
    <w:rsid w:val="00FC4E0D"/>
    <w:rsid w:val="00FC576D"/>
    <w:rsid w:val="00FC616A"/>
    <w:rsid w:val="00FC7738"/>
    <w:rsid w:val="00FC7A68"/>
    <w:rsid w:val="00FC7ECC"/>
    <w:rsid w:val="00FD0059"/>
    <w:rsid w:val="00FD0304"/>
    <w:rsid w:val="00FD0DBE"/>
    <w:rsid w:val="00FD1822"/>
    <w:rsid w:val="00FD1CE9"/>
    <w:rsid w:val="00FD29C8"/>
    <w:rsid w:val="00FD2F1A"/>
    <w:rsid w:val="00FD3747"/>
    <w:rsid w:val="00FD3CEC"/>
    <w:rsid w:val="00FD60B5"/>
    <w:rsid w:val="00FD70A8"/>
    <w:rsid w:val="00FD74FC"/>
    <w:rsid w:val="00FE004E"/>
    <w:rsid w:val="00FE03DF"/>
    <w:rsid w:val="00FE04ED"/>
    <w:rsid w:val="00FE18A2"/>
    <w:rsid w:val="00FE1DD7"/>
    <w:rsid w:val="00FE1FB6"/>
    <w:rsid w:val="00FE2B3B"/>
    <w:rsid w:val="00FE3882"/>
    <w:rsid w:val="00FE3B49"/>
    <w:rsid w:val="00FE3D6B"/>
    <w:rsid w:val="00FE68DD"/>
    <w:rsid w:val="00FE72E4"/>
    <w:rsid w:val="00FE73BD"/>
    <w:rsid w:val="00FF003D"/>
    <w:rsid w:val="00FF1381"/>
    <w:rsid w:val="00FF14BF"/>
    <w:rsid w:val="00FF34F7"/>
    <w:rsid w:val="00FF379A"/>
    <w:rsid w:val="00FF3EF1"/>
    <w:rsid w:val="00FF47EF"/>
    <w:rsid w:val="00FF5D75"/>
    <w:rsid w:val="00FF5F58"/>
    <w:rsid w:val="00FF5FEF"/>
    <w:rsid w:val="00FF6CFE"/>
    <w:rsid w:val="00FF6EB3"/>
    <w:rsid w:val="00FF7522"/>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FC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BC"/>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tabs>
        <w:tab w:val="center" w:pos="4680"/>
      </w:tabs>
      <w:jc w:val="both"/>
      <w:outlineLvl w:val="3"/>
    </w:pPr>
    <w:rPr>
      <w:rFonts w:ascii="Arial" w:hAnsi="Arial" w:cs="Arial"/>
      <w:b/>
      <w:bCs/>
    </w:rPr>
  </w:style>
  <w:style w:type="paragraph" w:styleId="Heading5">
    <w:name w:val="heading 5"/>
    <w:basedOn w:val="Normal"/>
    <w:next w:val="Normal"/>
    <w:qFormat/>
    <w:pPr>
      <w:keepNext/>
      <w:spacing w:line="480" w:lineRule="exact"/>
      <w:ind w:left="720" w:hanging="720"/>
      <w:outlineLvl w:val="4"/>
    </w:pPr>
    <w:rPr>
      <w:b/>
    </w:rPr>
  </w:style>
  <w:style w:type="paragraph" w:styleId="Heading6">
    <w:name w:val="heading 6"/>
    <w:basedOn w:val="Normal"/>
    <w:next w:val="Normal"/>
    <w:qFormat/>
    <w:pPr>
      <w:keepNext/>
      <w:widowControl/>
      <w:tabs>
        <w:tab w:val="center" w:pos="4680"/>
      </w:tabs>
      <w:autoSpaceDE/>
      <w:autoSpaceDN/>
      <w:adjustRightInd/>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3,Style 13,Appel note de bas de p,Style 12,(NECG) Footnote Reference,Style 124,FR,Style 17,Footnote Reference/,Style 6,Style 4,Style 7,Footnote Reference1"/>
    <w:uiPriority w:val="99"/>
    <w:rPr>
      <w:rFonts w:ascii="Times New Roman" w:hAnsi="Times New Roman"/>
      <w:dstrike w:val="0"/>
      <w:color w:val="auto"/>
      <w:sz w:val="24"/>
      <w:vertAlign w:val="superscript"/>
    </w:rPr>
  </w:style>
  <w:style w:type="paragraph" w:customStyle="1" w:styleId="a">
    <w:name w:val="_"/>
    <w:basedOn w:val="Normal"/>
    <w:pPr>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2,Footnote Text Char1 Char,Footnote Text Char Char Char,Footnote Text Char3 Char Char Char,Footnote Text Char2 Char Char1 Char Char,Footnote Text Char Char Char Char Char Char,fn Char1,Footnote Text Char1,fn Char,fn,f,fn "/>
    <w:basedOn w:val="Normal"/>
    <w:link w:val="FootnoteTextChar"/>
    <w:uiPriority w:val="99"/>
    <w:rPr>
      <w:sz w:val="20"/>
      <w:szCs w:val="20"/>
    </w:rPr>
  </w:style>
  <w:style w:type="paragraph" w:styleId="BalloonText">
    <w:name w:val="Balloon Text"/>
    <w:basedOn w:val="Normal"/>
    <w:semiHidden/>
    <w:rPr>
      <w:rFonts w:ascii="Tahoma" w:hAnsi="Tahoma" w:cs="Palatino Linotype"/>
      <w:sz w:val="16"/>
      <w:szCs w:val="16"/>
    </w:rPr>
  </w:style>
  <w:style w:type="paragraph" w:styleId="TOC3">
    <w:name w:val="toc 3"/>
    <w:basedOn w:val="Normal"/>
    <w:next w:val="Normal"/>
    <w:autoRedefine/>
    <w:semiHidden/>
    <w:pPr>
      <w:ind w:left="480"/>
    </w:pPr>
  </w:style>
  <w:style w:type="character" w:styleId="Hyperlink">
    <w:name w:val="Hyperlink"/>
    <w:uiPriority w:val="99"/>
    <w:rPr>
      <w:color w:val="0000FF"/>
      <w:u w:val="single"/>
    </w:rPr>
  </w:style>
  <w:style w:type="character" w:styleId="LineNumber">
    <w:name w:val="lin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Title">
    <w:name w:val="Title"/>
    <w:basedOn w:val="Normal"/>
    <w:qFormat/>
    <w:pPr>
      <w:widowControl/>
      <w:tabs>
        <w:tab w:val="left" w:pos="360"/>
      </w:tabs>
      <w:autoSpaceDE/>
      <w:autoSpaceDN/>
      <w:adjustRightInd/>
      <w:ind w:left="360" w:hanging="360"/>
      <w:jc w:val="center"/>
    </w:pPr>
    <w:rPr>
      <w:b/>
      <w:szCs w:val="20"/>
    </w:rPr>
  </w:style>
  <w:style w:type="paragraph" w:styleId="Subtitle">
    <w:name w:val="Subtitle"/>
    <w:basedOn w:val="Normal"/>
    <w:qFormat/>
    <w:pPr>
      <w:widowControl/>
      <w:tabs>
        <w:tab w:val="left" w:pos="360"/>
      </w:tabs>
      <w:autoSpaceDE/>
      <w:autoSpaceDN/>
      <w:adjustRightInd/>
      <w:ind w:left="360" w:hanging="360"/>
      <w:jc w:val="center"/>
    </w:pPr>
    <w:rPr>
      <w:rFonts w:ascii="Arial" w:hAnsi="Arial" w:cs="Arial"/>
      <w:b/>
      <w:szCs w:val="20"/>
    </w:rPr>
  </w:style>
  <w:style w:type="paragraph" w:styleId="BodyTextIndent">
    <w:name w:val="Body Text Indent"/>
    <w:basedOn w:val="Normal"/>
    <w:pPr>
      <w:widowControl/>
      <w:spacing w:line="360" w:lineRule="auto"/>
      <w:ind w:left="720"/>
      <w:jc w:val="both"/>
    </w:pPr>
    <w:rPr>
      <w:rFonts w:ascii="Arial" w:hAnsi="Arial" w:cs="Arial"/>
    </w:rPr>
  </w:style>
  <w:style w:type="paragraph" w:styleId="BodyTextIndent2">
    <w:name w:val="Body Text Indent 2"/>
    <w:basedOn w:val="Normal"/>
    <w:pPr>
      <w:widowControl/>
      <w:ind w:left="1440"/>
      <w:jc w:val="both"/>
    </w:pPr>
    <w:rPr>
      <w:rFonts w:ascii="Arial" w:hAnsi="Arial" w:cs="Arial"/>
      <w:szCs w:val="16"/>
    </w:rPr>
  </w:style>
  <w:style w:type="paragraph" w:styleId="BlockText">
    <w:name w:val="Block Text"/>
    <w:basedOn w:val="Normal"/>
    <w:pPr>
      <w:widowControl/>
      <w:tabs>
        <w:tab w:val="left" w:pos="720"/>
      </w:tabs>
      <w:ind w:left="1440" w:right="720" w:hanging="1440"/>
      <w:jc w:val="both"/>
    </w:pPr>
    <w:rPr>
      <w:rFonts w:ascii="Arial" w:hAnsi="Arial" w:cs="Arial"/>
    </w:rPr>
  </w:style>
  <w:style w:type="paragraph" w:styleId="BodyTextIndent3">
    <w:name w:val="Body Text Indent 3"/>
    <w:basedOn w:val="Normal"/>
    <w:pPr>
      <w:spacing w:line="480" w:lineRule="auto"/>
      <w:ind w:left="540"/>
      <w:jc w:val="center"/>
    </w:pPr>
    <w:rPr>
      <w:rFonts w:ascii="Arial" w:hAnsi="Arial" w:cs="Arial"/>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character" w:customStyle="1" w:styleId="StyleFootnoteReference10pt">
    <w:name w:val="Style Footnote Reference + 10 pt"/>
    <w:rPr>
      <w:rFonts w:ascii="Times New Roman" w:hAnsi="Times New Roman"/>
      <w:dstrike w:val="0"/>
      <w:color w:val="auto"/>
      <w:sz w:val="22"/>
      <w:vertAlign w:val="superscript"/>
    </w:rPr>
  </w:style>
  <w:style w:type="character" w:customStyle="1" w:styleId="StyleFootnoteReference10pt1">
    <w:name w:val="Style Footnote Reference + 10 pt1"/>
    <w:rPr>
      <w:rFonts w:ascii="Times New Roman" w:hAnsi="Times New Roman"/>
      <w:dstrike w:val="0"/>
      <w:color w:val="auto"/>
      <w:sz w:val="24"/>
      <w:szCs w:val="24"/>
      <w:vertAlign w:val="superscript"/>
    </w:rPr>
  </w:style>
  <w:style w:type="character" w:styleId="Strong">
    <w:name w:val="Strong"/>
    <w:qFormat/>
    <w:rPr>
      <w:b/>
    </w:rPr>
  </w:style>
  <w:style w:type="paragraph" w:styleId="BodyText3">
    <w:name w:val="Body Text 3"/>
    <w:basedOn w:val="Normal"/>
    <w:rPr>
      <w:rFonts w:ascii="Palatino Linotype" w:hAnsi="Palatino Linotype"/>
      <w:b/>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1B005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605A71"/>
    <w:rPr>
      <w:color w:val="800080"/>
      <w:u w:val="single"/>
    </w:rPr>
  </w:style>
  <w:style w:type="paragraph" w:styleId="EndnoteText">
    <w:name w:val="endnote text"/>
    <w:basedOn w:val="Normal"/>
    <w:semiHidden/>
    <w:rsid w:val="002E2025"/>
    <w:rPr>
      <w:sz w:val="20"/>
      <w:szCs w:val="20"/>
    </w:rPr>
  </w:style>
  <w:style w:type="character" w:styleId="EndnoteReference">
    <w:name w:val="endnote reference"/>
    <w:semiHidden/>
    <w:rsid w:val="002E2025"/>
    <w:rPr>
      <w:vertAlign w:val="superscript"/>
    </w:rPr>
  </w:style>
  <w:style w:type="paragraph" w:styleId="TOC1">
    <w:name w:val="toc 1"/>
    <w:basedOn w:val="Normal"/>
    <w:next w:val="Normal"/>
    <w:autoRedefine/>
    <w:uiPriority w:val="39"/>
    <w:rsid w:val="00544281"/>
    <w:pPr>
      <w:tabs>
        <w:tab w:val="left" w:pos="720"/>
        <w:tab w:val="right" w:leader="dot" w:pos="9350"/>
      </w:tabs>
      <w:spacing w:line="480" w:lineRule="auto"/>
    </w:pPr>
  </w:style>
  <w:style w:type="paragraph" w:styleId="TOC2">
    <w:name w:val="toc 2"/>
    <w:basedOn w:val="Normal"/>
    <w:next w:val="Normal"/>
    <w:autoRedefine/>
    <w:uiPriority w:val="39"/>
    <w:rsid w:val="00B053FB"/>
    <w:pPr>
      <w:tabs>
        <w:tab w:val="right" w:leader="dot" w:pos="9350"/>
      </w:tabs>
      <w:ind w:left="1080" w:hanging="360"/>
    </w:pPr>
  </w:style>
  <w:style w:type="character" w:customStyle="1" w:styleId="FootnoteTextChar">
    <w:name w:val="Footnote Text Char"/>
    <w:aliases w:val="Footnote Text Char2 Char,Footnote Text Char1 Char Char,Footnote Text Char Char Char Char,Footnote Text Char3 Char Char Char Char,Footnote Text Char2 Char Char1 Char Char Char,Footnote Text Char Char Char Char Char Char Char,fn Char2"/>
    <w:link w:val="FootnoteText"/>
    <w:uiPriority w:val="99"/>
    <w:rsid w:val="00EA02E5"/>
    <w:rPr>
      <w:lang w:val="en-US" w:eastAsia="en-US" w:bidi="ar-SA"/>
    </w:rPr>
  </w:style>
  <w:style w:type="character" w:customStyle="1" w:styleId="FootnoteTextCharChar1">
    <w:name w:val="Footnote Text Char Char1"/>
    <w:aliases w:val="Footnote Text Char2 Char Char Char Char Char Char"/>
    <w:rsid w:val="001558F1"/>
    <w:rPr>
      <w:lang w:val="en-US" w:eastAsia="en-US" w:bidi="ar-SA"/>
    </w:rPr>
  </w:style>
  <w:style w:type="paragraph" w:customStyle="1" w:styleId="Default">
    <w:name w:val="Default"/>
    <w:rsid w:val="002F6A6B"/>
    <w:pPr>
      <w:autoSpaceDE w:val="0"/>
      <w:autoSpaceDN w:val="0"/>
      <w:adjustRightInd w:val="0"/>
    </w:pPr>
    <w:rPr>
      <w:color w:val="000000"/>
      <w:sz w:val="24"/>
      <w:szCs w:val="24"/>
    </w:rPr>
  </w:style>
  <w:style w:type="paragraph" w:customStyle="1" w:styleId="DarkList-Accent51">
    <w:name w:val="Dark List - Accent 51"/>
    <w:basedOn w:val="Normal"/>
    <w:uiPriority w:val="34"/>
    <w:qFormat/>
    <w:rsid w:val="00305986"/>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317871"/>
  </w:style>
  <w:style w:type="paragraph" w:customStyle="1" w:styleId="par1">
    <w:name w:val="par1"/>
    <w:basedOn w:val="Normal"/>
    <w:link w:val="par1Char"/>
    <w:rsid w:val="00D72E5F"/>
    <w:pPr>
      <w:widowControl/>
      <w:tabs>
        <w:tab w:val="left" w:pos="720"/>
        <w:tab w:val="left" w:pos="1440"/>
        <w:tab w:val="left" w:pos="2160"/>
      </w:tabs>
      <w:autoSpaceDE/>
      <w:autoSpaceDN/>
      <w:adjustRightInd/>
      <w:spacing w:before="240"/>
      <w:ind w:left="720" w:hanging="720"/>
    </w:pPr>
    <w:rPr>
      <w:rFonts w:ascii="Arial" w:hAnsi="Arial"/>
      <w:sz w:val="20"/>
    </w:rPr>
  </w:style>
  <w:style w:type="paragraph" w:customStyle="1" w:styleId="par2">
    <w:name w:val="par2"/>
    <w:basedOn w:val="par1"/>
    <w:rsid w:val="00D72E5F"/>
    <w:pPr>
      <w:ind w:left="1440"/>
    </w:pPr>
  </w:style>
  <w:style w:type="character" w:customStyle="1" w:styleId="par1Char">
    <w:name w:val="par1 Char"/>
    <w:link w:val="par1"/>
    <w:locked/>
    <w:rsid w:val="00D72E5F"/>
    <w:rPr>
      <w:rFonts w:ascii="Arial" w:hAnsi="Arial"/>
      <w:szCs w:val="24"/>
    </w:rPr>
  </w:style>
  <w:style w:type="paragraph" w:customStyle="1" w:styleId="ColorfulShading-Accent31">
    <w:name w:val="Colorful Shading - Accent 31"/>
    <w:basedOn w:val="Normal"/>
    <w:uiPriority w:val="34"/>
    <w:qFormat/>
    <w:rsid w:val="005E0F9B"/>
    <w:pPr>
      <w:widowControl/>
      <w:autoSpaceDE/>
      <w:autoSpaceDN/>
      <w:adjustRightInd/>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85B4A"/>
    <w:rPr>
      <w:b/>
      <w:bCs/>
    </w:rPr>
  </w:style>
  <w:style w:type="character" w:customStyle="1" w:styleId="CommentSubjectChar">
    <w:name w:val="Comment Subject Char"/>
    <w:link w:val="CommentSubject"/>
    <w:uiPriority w:val="99"/>
    <w:semiHidden/>
    <w:rsid w:val="00685B4A"/>
    <w:rPr>
      <w:b/>
      <w:bCs/>
    </w:rPr>
  </w:style>
  <w:style w:type="paragraph" w:styleId="TOC5">
    <w:name w:val="toc 5"/>
    <w:basedOn w:val="Normal"/>
    <w:next w:val="Normal"/>
    <w:autoRedefine/>
    <w:uiPriority w:val="39"/>
    <w:semiHidden/>
    <w:unhideWhenUsed/>
    <w:rsid w:val="005E3E68"/>
    <w:pPr>
      <w:ind w:left="960"/>
    </w:pPr>
  </w:style>
  <w:style w:type="paragraph" w:styleId="Revision">
    <w:name w:val="Revision"/>
    <w:hidden/>
    <w:uiPriority w:val="71"/>
    <w:rsid w:val="00796DD7"/>
    <w:rPr>
      <w:sz w:val="24"/>
      <w:szCs w:val="24"/>
    </w:rPr>
  </w:style>
  <w:style w:type="paragraph" w:styleId="NormalWeb">
    <w:name w:val="Normal (Web)"/>
    <w:basedOn w:val="Normal"/>
    <w:uiPriority w:val="99"/>
    <w:semiHidden/>
    <w:unhideWhenUsed/>
    <w:rsid w:val="009D0CB4"/>
    <w:pPr>
      <w:widowControl/>
      <w:autoSpaceDE/>
      <w:autoSpaceDN/>
      <w:adjustRightInd/>
      <w:spacing w:before="100" w:beforeAutospacing="1" w:after="100" w:afterAutospacing="1"/>
    </w:pPr>
    <w:rPr>
      <w:rFonts w:eastAsiaTheme="minorHAnsi"/>
    </w:rPr>
  </w:style>
  <w:style w:type="paragraph" w:styleId="ListParagraph">
    <w:name w:val="List Paragraph"/>
    <w:basedOn w:val="Normal"/>
    <w:uiPriority w:val="72"/>
    <w:rsid w:val="00845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BC"/>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tabs>
        <w:tab w:val="center" w:pos="4680"/>
      </w:tabs>
      <w:jc w:val="both"/>
      <w:outlineLvl w:val="3"/>
    </w:pPr>
    <w:rPr>
      <w:rFonts w:ascii="Arial" w:hAnsi="Arial" w:cs="Arial"/>
      <w:b/>
      <w:bCs/>
    </w:rPr>
  </w:style>
  <w:style w:type="paragraph" w:styleId="Heading5">
    <w:name w:val="heading 5"/>
    <w:basedOn w:val="Normal"/>
    <w:next w:val="Normal"/>
    <w:qFormat/>
    <w:pPr>
      <w:keepNext/>
      <w:spacing w:line="480" w:lineRule="exact"/>
      <w:ind w:left="720" w:hanging="720"/>
      <w:outlineLvl w:val="4"/>
    </w:pPr>
    <w:rPr>
      <w:b/>
    </w:rPr>
  </w:style>
  <w:style w:type="paragraph" w:styleId="Heading6">
    <w:name w:val="heading 6"/>
    <w:basedOn w:val="Normal"/>
    <w:next w:val="Normal"/>
    <w:qFormat/>
    <w:pPr>
      <w:keepNext/>
      <w:widowControl/>
      <w:tabs>
        <w:tab w:val="center" w:pos="4680"/>
      </w:tabs>
      <w:autoSpaceDE/>
      <w:autoSpaceDN/>
      <w:adjustRightInd/>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3,Style 13,Appel note de bas de p,Style 12,(NECG) Footnote Reference,Style 124,FR,Style 17,Footnote Reference/,Style 6,Style 4,Style 7,Footnote Reference1"/>
    <w:uiPriority w:val="99"/>
    <w:rPr>
      <w:rFonts w:ascii="Times New Roman" w:hAnsi="Times New Roman"/>
      <w:dstrike w:val="0"/>
      <w:color w:val="auto"/>
      <w:sz w:val="24"/>
      <w:vertAlign w:val="superscript"/>
    </w:rPr>
  </w:style>
  <w:style w:type="paragraph" w:customStyle="1" w:styleId="a">
    <w:name w:val="_"/>
    <w:basedOn w:val="Normal"/>
    <w:pPr>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2,Footnote Text Char1 Char,Footnote Text Char Char Char,Footnote Text Char3 Char Char Char,Footnote Text Char2 Char Char1 Char Char,Footnote Text Char Char Char Char Char Char,fn Char1,Footnote Text Char1,fn Char,fn,f,fn "/>
    <w:basedOn w:val="Normal"/>
    <w:link w:val="FootnoteTextChar"/>
    <w:uiPriority w:val="99"/>
    <w:rPr>
      <w:sz w:val="20"/>
      <w:szCs w:val="20"/>
    </w:rPr>
  </w:style>
  <w:style w:type="paragraph" w:styleId="BalloonText">
    <w:name w:val="Balloon Text"/>
    <w:basedOn w:val="Normal"/>
    <w:semiHidden/>
    <w:rPr>
      <w:rFonts w:ascii="Tahoma" w:hAnsi="Tahoma" w:cs="Palatino Linotype"/>
      <w:sz w:val="16"/>
      <w:szCs w:val="16"/>
    </w:rPr>
  </w:style>
  <w:style w:type="paragraph" w:styleId="TOC3">
    <w:name w:val="toc 3"/>
    <w:basedOn w:val="Normal"/>
    <w:next w:val="Normal"/>
    <w:autoRedefine/>
    <w:semiHidden/>
    <w:pPr>
      <w:ind w:left="480"/>
    </w:pPr>
  </w:style>
  <w:style w:type="character" w:styleId="Hyperlink">
    <w:name w:val="Hyperlink"/>
    <w:uiPriority w:val="99"/>
    <w:rPr>
      <w:color w:val="0000FF"/>
      <w:u w:val="single"/>
    </w:rPr>
  </w:style>
  <w:style w:type="character" w:styleId="LineNumber">
    <w:name w:val="lin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Title">
    <w:name w:val="Title"/>
    <w:basedOn w:val="Normal"/>
    <w:qFormat/>
    <w:pPr>
      <w:widowControl/>
      <w:tabs>
        <w:tab w:val="left" w:pos="360"/>
      </w:tabs>
      <w:autoSpaceDE/>
      <w:autoSpaceDN/>
      <w:adjustRightInd/>
      <w:ind w:left="360" w:hanging="360"/>
      <w:jc w:val="center"/>
    </w:pPr>
    <w:rPr>
      <w:b/>
      <w:szCs w:val="20"/>
    </w:rPr>
  </w:style>
  <w:style w:type="paragraph" w:styleId="Subtitle">
    <w:name w:val="Subtitle"/>
    <w:basedOn w:val="Normal"/>
    <w:qFormat/>
    <w:pPr>
      <w:widowControl/>
      <w:tabs>
        <w:tab w:val="left" w:pos="360"/>
      </w:tabs>
      <w:autoSpaceDE/>
      <w:autoSpaceDN/>
      <w:adjustRightInd/>
      <w:ind w:left="360" w:hanging="360"/>
      <w:jc w:val="center"/>
    </w:pPr>
    <w:rPr>
      <w:rFonts w:ascii="Arial" w:hAnsi="Arial" w:cs="Arial"/>
      <w:b/>
      <w:szCs w:val="20"/>
    </w:rPr>
  </w:style>
  <w:style w:type="paragraph" w:styleId="BodyTextIndent">
    <w:name w:val="Body Text Indent"/>
    <w:basedOn w:val="Normal"/>
    <w:pPr>
      <w:widowControl/>
      <w:spacing w:line="360" w:lineRule="auto"/>
      <w:ind w:left="720"/>
      <w:jc w:val="both"/>
    </w:pPr>
    <w:rPr>
      <w:rFonts w:ascii="Arial" w:hAnsi="Arial" w:cs="Arial"/>
    </w:rPr>
  </w:style>
  <w:style w:type="paragraph" w:styleId="BodyTextIndent2">
    <w:name w:val="Body Text Indent 2"/>
    <w:basedOn w:val="Normal"/>
    <w:pPr>
      <w:widowControl/>
      <w:ind w:left="1440"/>
      <w:jc w:val="both"/>
    </w:pPr>
    <w:rPr>
      <w:rFonts w:ascii="Arial" w:hAnsi="Arial" w:cs="Arial"/>
      <w:szCs w:val="16"/>
    </w:rPr>
  </w:style>
  <w:style w:type="paragraph" w:styleId="BlockText">
    <w:name w:val="Block Text"/>
    <w:basedOn w:val="Normal"/>
    <w:pPr>
      <w:widowControl/>
      <w:tabs>
        <w:tab w:val="left" w:pos="720"/>
      </w:tabs>
      <w:ind w:left="1440" w:right="720" w:hanging="1440"/>
      <w:jc w:val="both"/>
    </w:pPr>
    <w:rPr>
      <w:rFonts w:ascii="Arial" w:hAnsi="Arial" w:cs="Arial"/>
    </w:rPr>
  </w:style>
  <w:style w:type="paragraph" w:styleId="BodyTextIndent3">
    <w:name w:val="Body Text Indent 3"/>
    <w:basedOn w:val="Normal"/>
    <w:pPr>
      <w:spacing w:line="480" w:lineRule="auto"/>
      <w:ind w:left="540"/>
      <w:jc w:val="center"/>
    </w:pPr>
    <w:rPr>
      <w:rFonts w:ascii="Arial" w:hAnsi="Arial" w:cs="Arial"/>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character" w:customStyle="1" w:styleId="StyleFootnoteReference10pt">
    <w:name w:val="Style Footnote Reference + 10 pt"/>
    <w:rPr>
      <w:rFonts w:ascii="Times New Roman" w:hAnsi="Times New Roman"/>
      <w:dstrike w:val="0"/>
      <w:color w:val="auto"/>
      <w:sz w:val="22"/>
      <w:vertAlign w:val="superscript"/>
    </w:rPr>
  </w:style>
  <w:style w:type="character" w:customStyle="1" w:styleId="StyleFootnoteReference10pt1">
    <w:name w:val="Style Footnote Reference + 10 pt1"/>
    <w:rPr>
      <w:rFonts w:ascii="Times New Roman" w:hAnsi="Times New Roman"/>
      <w:dstrike w:val="0"/>
      <w:color w:val="auto"/>
      <w:sz w:val="24"/>
      <w:szCs w:val="24"/>
      <w:vertAlign w:val="superscript"/>
    </w:rPr>
  </w:style>
  <w:style w:type="character" w:styleId="Strong">
    <w:name w:val="Strong"/>
    <w:qFormat/>
    <w:rPr>
      <w:b/>
    </w:rPr>
  </w:style>
  <w:style w:type="paragraph" w:styleId="BodyText3">
    <w:name w:val="Body Text 3"/>
    <w:basedOn w:val="Normal"/>
    <w:rPr>
      <w:rFonts w:ascii="Palatino Linotype" w:hAnsi="Palatino Linotype"/>
      <w:b/>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1B005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605A71"/>
    <w:rPr>
      <w:color w:val="800080"/>
      <w:u w:val="single"/>
    </w:rPr>
  </w:style>
  <w:style w:type="paragraph" w:styleId="EndnoteText">
    <w:name w:val="endnote text"/>
    <w:basedOn w:val="Normal"/>
    <w:semiHidden/>
    <w:rsid w:val="002E2025"/>
    <w:rPr>
      <w:sz w:val="20"/>
      <w:szCs w:val="20"/>
    </w:rPr>
  </w:style>
  <w:style w:type="character" w:styleId="EndnoteReference">
    <w:name w:val="endnote reference"/>
    <w:semiHidden/>
    <w:rsid w:val="002E2025"/>
    <w:rPr>
      <w:vertAlign w:val="superscript"/>
    </w:rPr>
  </w:style>
  <w:style w:type="paragraph" w:styleId="TOC1">
    <w:name w:val="toc 1"/>
    <w:basedOn w:val="Normal"/>
    <w:next w:val="Normal"/>
    <w:autoRedefine/>
    <w:uiPriority w:val="39"/>
    <w:rsid w:val="00544281"/>
    <w:pPr>
      <w:tabs>
        <w:tab w:val="left" w:pos="720"/>
        <w:tab w:val="right" w:leader="dot" w:pos="9350"/>
      </w:tabs>
      <w:spacing w:line="480" w:lineRule="auto"/>
    </w:pPr>
  </w:style>
  <w:style w:type="paragraph" w:styleId="TOC2">
    <w:name w:val="toc 2"/>
    <w:basedOn w:val="Normal"/>
    <w:next w:val="Normal"/>
    <w:autoRedefine/>
    <w:uiPriority w:val="39"/>
    <w:rsid w:val="00B053FB"/>
    <w:pPr>
      <w:tabs>
        <w:tab w:val="right" w:leader="dot" w:pos="9350"/>
      </w:tabs>
      <w:ind w:left="1080" w:hanging="360"/>
    </w:pPr>
  </w:style>
  <w:style w:type="character" w:customStyle="1" w:styleId="FootnoteTextChar">
    <w:name w:val="Footnote Text Char"/>
    <w:aliases w:val="Footnote Text Char2 Char,Footnote Text Char1 Char Char,Footnote Text Char Char Char Char,Footnote Text Char3 Char Char Char Char,Footnote Text Char2 Char Char1 Char Char Char,Footnote Text Char Char Char Char Char Char Char,fn Char2"/>
    <w:link w:val="FootnoteText"/>
    <w:uiPriority w:val="99"/>
    <w:rsid w:val="00EA02E5"/>
    <w:rPr>
      <w:lang w:val="en-US" w:eastAsia="en-US" w:bidi="ar-SA"/>
    </w:rPr>
  </w:style>
  <w:style w:type="character" w:customStyle="1" w:styleId="FootnoteTextCharChar1">
    <w:name w:val="Footnote Text Char Char1"/>
    <w:aliases w:val="Footnote Text Char2 Char Char Char Char Char Char"/>
    <w:rsid w:val="001558F1"/>
    <w:rPr>
      <w:lang w:val="en-US" w:eastAsia="en-US" w:bidi="ar-SA"/>
    </w:rPr>
  </w:style>
  <w:style w:type="paragraph" w:customStyle="1" w:styleId="Default">
    <w:name w:val="Default"/>
    <w:rsid w:val="002F6A6B"/>
    <w:pPr>
      <w:autoSpaceDE w:val="0"/>
      <w:autoSpaceDN w:val="0"/>
      <w:adjustRightInd w:val="0"/>
    </w:pPr>
    <w:rPr>
      <w:color w:val="000000"/>
      <w:sz w:val="24"/>
      <w:szCs w:val="24"/>
    </w:rPr>
  </w:style>
  <w:style w:type="paragraph" w:customStyle="1" w:styleId="DarkList-Accent51">
    <w:name w:val="Dark List - Accent 51"/>
    <w:basedOn w:val="Normal"/>
    <w:uiPriority w:val="34"/>
    <w:qFormat/>
    <w:rsid w:val="00305986"/>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317871"/>
  </w:style>
  <w:style w:type="paragraph" w:customStyle="1" w:styleId="par1">
    <w:name w:val="par1"/>
    <w:basedOn w:val="Normal"/>
    <w:link w:val="par1Char"/>
    <w:rsid w:val="00D72E5F"/>
    <w:pPr>
      <w:widowControl/>
      <w:tabs>
        <w:tab w:val="left" w:pos="720"/>
        <w:tab w:val="left" w:pos="1440"/>
        <w:tab w:val="left" w:pos="2160"/>
      </w:tabs>
      <w:autoSpaceDE/>
      <w:autoSpaceDN/>
      <w:adjustRightInd/>
      <w:spacing w:before="240"/>
      <w:ind w:left="720" w:hanging="720"/>
    </w:pPr>
    <w:rPr>
      <w:rFonts w:ascii="Arial" w:hAnsi="Arial"/>
      <w:sz w:val="20"/>
    </w:rPr>
  </w:style>
  <w:style w:type="paragraph" w:customStyle="1" w:styleId="par2">
    <w:name w:val="par2"/>
    <w:basedOn w:val="par1"/>
    <w:rsid w:val="00D72E5F"/>
    <w:pPr>
      <w:ind w:left="1440"/>
    </w:pPr>
  </w:style>
  <w:style w:type="character" w:customStyle="1" w:styleId="par1Char">
    <w:name w:val="par1 Char"/>
    <w:link w:val="par1"/>
    <w:locked/>
    <w:rsid w:val="00D72E5F"/>
    <w:rPr>
      <w:rFonts w:ascii="Arial" w:hAnsi="Arial"/>
      <w:szCs w:val="24"/>
    </w:rPr>
  </w:style>
  <w:style w:type="paragraph" w:customStyle="1" w:styleId="ColorfulShading-Accent31">
    <w:name w:val="Colorful Shading - Accent 31"/>
    <w:basedOn w:val="Normal"/>
    <w:uiPriority w:val="34"/>
    <w:qFormat/>
    <w:rsid w:val="005E0F9B"/>
    <w:pPr>
      <w:widowControl/>
      <w:autoSpaceDE/>
      <w:autoSpaceDN/>
      <w:adjustRightInd/>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85B4A"/>
    <w:rPr>
      <w:b/>
      <w:bCs/>
    </w:rPr>
  </w:style>
  <w:style w:type="character" w:customStyle="1" w:styleId="CommentSubjectChar">
    <w:name w:val="Comment Subject Char"/>
    <w:link w:val="CommentSubject"/>
    <w:uiPriority w:val="99"/>
    <w:semiHidden/>
    <w:rsid w:val="00685B4A"/>
    <w:rPr>
      <w:b/>
      <w:bCs/>
    </w:rPr>
  </w:style>
  <w:style w:type="paragraph" w:styleId="TOC5">
    <w:name w:val="toc 5"/>
    <w:basedOn w:val="Normal"/>
    <w:next w:val="Normal"/>
    <w:autoRedefine/>
    <w:uiPriority w:val="39"/>
    <w:semiHidden/>
    <w:unhideWhenUsed/>
    <w:rsid w:val="005E3E68"/>
    <w:pPr>
      <w:ind w:left="960"/>
    </w:pPr>
  </w:style>
  <w:style w:type="paragraph" w:styleId="Revision">
    <w:name w:val="Revision"/>
    <w:hidden/>
    <w:uiPriority w:val="71"/>
    <w:rsid w:val="00796DD7"/>
    <w:rPr>
      <w:sz w:val="24"/>
      <w:szCs w:val="24"/>
    </w:rPr>
  </w:style>
  <w:style w:type="paragraph" w:styleId="NormalWeb">
    <w:name w:val="Normal (Web)"/>
    <w:basedOn w:val="Normal"/>
    <w:uiPriority w:val="99"/>
    <w:semiHidden/>
    <w:unhideWhenUsed/>
    <w:rsid w:val="009D0CB4"/>
    <w:pPr>
      <w:widowControl/>
      <w:autoSpaceDE/>
      <w:autoSpaceDN/>
      <w:adjustRightInd/>
      <w:spacing w:before="100" w:beforeAutospacing="1" w:after="100" w:afterAutospacing="1"/>
    </w:pPr>
    <w:rPr>
      <w:rFonts w:eastAsiaTheme="minorHAnsi"/>
    </w:rPr>
  </w:style>
  <w:style w:type="paragraph" w:styleId="ListParagraph">
    <w:name w:val="List Paragraph"/>
    <w:basedOn w:val="Normal"/>
    <w:uiPriority w:val="72"/>
    <w:rsid w:val="0084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4548">
      <w:bodyDiv w:val="1"/>
      <w:marLeft w:val="0"/>
      <w:marRight w:val="0"/>
      <w:marTop w:val="0"/>
      <w:marBottom w:val="0"/>
      <w:divBdr>
        <w:top w:val="none" w:sz="0" w:space="0" w:color="auto"/>
        <w:left w:val="none" w:sz="0" w:space="0" w:color="auto"/>
        <w:bottom w:val="none" w:sz="0" w:space="0" w:color="auto"/>
        <w:right w:val="none" w:sz="0" w:space="0" w:color="auto"/>
      </w:divBdr>
    </w:div>
    <w:div w:id="67000322">
      <w:bodyDiv w:val="1"/>
      <w:marLeft w:val="0"/>
      <w:marRight w:val="0"/>
      <w:marTop w:val="0"/>
      <w:marBottom w:val="0"/>
      <w:divBdr>
        <w:top w:val="none" w:sz="0" w:space="0" w:color="auto"/>
        <w:left w:val="none" w:sz="0" w:space="0" w:color="auto"/>
        <w:bottom w:val="none" w:sz="0" w:space="0" w:color="auto"/>
        <w:right w:val="none" w:sz="0" w:space="0" w:color="auto"/>
      </w:divBdr>
    </w:div>
    <w:div w:id="94522612">
      <w:bodyDiv w:val="1"/>
      <w:marLeft w:val="0"/>
      <w:marRight w:val="0"/>
      <w:marTop w:val="0"/>
      <w:marBottom w:val="0"/>
      <w:divBdr>
        <w:top w:val="none" w:sz="0" w:space="0" w:color="auto"/>
        <w:left w:val="none" w:sz="0" w:space="0" w:color="auto"/>
        <w:bottom w:val="none" w:sz="0" w:space="0" w:color="auto"/>
        <w:right w:val="none" w:sz="0" w:space="0" w:color="auto"/>
      </w:divBdr>
    </w:div>
    <w:div w:id="94907407">
      <w:bodyDiv w:val="1"/>
      <w:marLeft w:val="0"/>
      <w:marRight w:val="0"/>
      <w:marTop w:val="0"/>
      <w:marBottom w:val="0"/>
      <w:divBdr>
        <w:top w:val="none" w:sz="0" w:space="0" w:color="auto"/>
        <w:left w:val="none" w:sz="0" w:space="0" w:color="auto"/>
        <w:bottom w:val="none" w:sz="0" w:space="0" w:color="auto"/>
        <w:right w:val="none" w:sz="0" w:space="0" w:color="auto"/>
      </w:divBdr>
    </w:div>
    <w:div w:id="133374273">
      <w:bodyDiv w:val="1"/>
      <w:marLeft w:val="0"/>
      <w:marRight w:val="0"/>
      <w:marTop w:val="0"/>
      <w:marBottom w:val="0"/>
      <w:divBdr>
        <w:top w:val="none" w:sz="0" w:space="0" w:color="auto"/>
        <w:left w:val="none" w:sz="0" w:space="0" w:color="auto"/>
        <w:bottom w:val="none" w:sz="0" w:space="0" w:color="auto"/>
        <w:right w:val="none" w:sz="0" w:space="0" w:color="auto"/>
      </w:divBdr>
    </w:div>
    <w:div w:id="199169399">
      <w:bodyDiv w:val="1"/>
      <w:marLeft w:val="0"/>
      <w:marRight w:val="0"/>
      <w:marTop w:val="0"/>
      <w:marBottom w:val="0"/>
      <w:divBdr>
        <w:top w:val="none" w:sz="0" w:space="0" w:color="auto"/>
        <w:left w:val="none" w:sz="0" w:space="0" w:color="auto"/>
        <w:bottom w:val="none" w:sz="0" w:space="0" w:color="auto"/>
        <w:right w:val="none" w:sz="0" w:space="0" w:color="auto"/>
      </w:divBdr>
    </w:div>
    <w:div w:id="303779402">
      <w:bodyDiv w:val="1"/>
      <w:marLeft w:val="0"/>
      <w:marRight w:val="0"/>
      <w:marTop w:val="0"/>
      <w:marBottom w:val="0"/>
      <w:divBdr>
        <w:top w:val="none" w:sz="0" w:space="0" w:color="auto"/>
        <w:left w:val="none" w:sz="0" w:space="0" w:color="auto"/>
        <w:bottom w:val="none" w:sz="0" w:space="0" w:color="auto"/>
        <w:right w:val="none" w:sz="0" w:space="0" w:color="auto"/>
      </w:divBdr>
    </w:div>
    <w:div w:id="321782780">
      <w:bodyDiv w:val="1"/>
      <w:marLeft w:val="0"/>
      <w:marRight w:val="0"/>
      <w:marTop w:val="0"/>
      <w:marBottom w:val="0"/>
      <w:divBdr>
        <w:top w:val="none" w:sz="0" w:space="0" w:color="auto"/>
        <w:left w:val="none" w:sz="0" w:space="0" w:color="auto"/>
        <w:bottom w:val="none" w:sz="0" w:space="0" w:color="auto"/>
        <w:right w:val="none" w:sz="0" w:space="0" w:color="auto"/>
      </w:divBdr>
    </w:div>
    <w:div w:id="352651635">
      <w:bodyDiv w:val="1"/>
      <w:marLeft w:val="0"/>
      <w:marRight w:val="0"/>
      <w:marTop w:val="0"/>
      <w:marBottom w:val="0"/>
      <w:divBdr>
        <w:top w:val="none" w:sz="0" w:space="0" w:color="auto"/>
        <w:left w:val="none" w:sz="0" w:space="0" w:color="auto"/>
        <w:bottom w:val="none" w:sz="0" w:space="0" w:color="auto"/>
        <w:right w:val="none" w:sz="0" w:space="0" w:color="auto"/>
      </w:divBdr>
    </w:div>
    <w:div w:id="361514412">
      <w:bodyDiv w:val="1"/>
      <w:marLeft w:val="0"/>
      <w:marRight w:val="0"/>
      <w:marTop w:val="0"/>
      <w:marBottom w:val="0"/>
      <w:divBdr>
        <w:top w:val="none" w:sz="0" w:space="0" w:color="auto"/>
        <w:left w:val="none" w:sz="0" w:space="0" w:color="auto"/>
        <w:bottom w:val="none" w:sz="0" w:space="0" w:color="auto"/>
        <w:right w:val="none" w:sz="0" w:space="0" w:color="auto"/>
      </w:divBdr>
    </w:div>
    <w:div w:id="369259529">
      <w:bodyDiv w:val="1"/>
      <w:marLeft w:val="0"/>
      <w:marRight w:val="0"/>
      <w:marTop w:val="0"/>
      <w:marBottom w:val="0"/>
      <w:divBdr>
        <w:top w:val="none" w:sz="0" w:space="0" w:color="auto"/>
        <w:left w:val="none" w:sz="0" w:space="0" w:color="auto"/>
        <w:bottom w:val="none" w:sz="0" w:space="0" w:color="auto"/>
        <w:right w:val="none" w:sz="0" w:space="0" w:color="auto"/>
      </w:divBdr>
    </w:div>
    <w:div w:id="372268060">
      <w:bodyDiv w:val="1"/>
      <w:marLeft w:val="0"/>
      <w:marRight w:val="0"/>
      <w:marTop w:val="0"/>
      <w:marBottom w:val="0"/>
      <w:divBdr>
        <w:top w:val="none" w:sz="0" w:space="0" w:color="auto"/>
        <w:left w:val="none" w:sz="0" w:space="0" w:color="auto"/>
        <w:bottom w:val="none" w:sz="0" w:space="0" w:color="auto"/>
        <w:right w:val="none" w:sz="0" w:space="0" w:color="auto"/>
      </w:divBdr>
    </w:div>
    <w:div w:id="393551906">
      <w:bodyDiv w:val="1"/>
      <w:marLeft w:val="0"/>
      <w:marRight w:val="0"/>
      <w:marTop w:val="0"/>
      <w:marBottom w:val="0"/>
      <w:divBdr>
        <w:top w:val="none" w:sz="0" w:space="0" w:color="auto"/>
        <w:left w:val="none" w:sz="0" w:space="0" w:color="auto"/>
        <w:bottom w:val="none" w:sz="0" w:space="0" w:color="auto"/>
        <w:right w:val="none" w:sz="0" w:space="0" w:color="auto"/>
      </w:divBdr>
    </w:div>
    <w:div w:id="398485327">
      <w:bodyDiv w:val="1"/>
      <w:marLeft w:val="0"/>
      <w:marRight w:val="0"/>
      <w:marTop w:val="0"/>
      <w:marBottom w:val="0"/>
      <w:divBdr>
        <w:top w:val="none" w:sz="0" w:space="0" w:color="auto"/>
        <w:left w:val="none" w:sz="0" w:space="0" w:color="auto"/>
        <w:bottom w:val="none" w:sz="0" w:space="0" w:color="auto"/>
        <w:right w:val="none" w:sz="0" w:space="0" w:color="auto"/>
      </w:divBdr>
    </w:div>
    <w:div w:id="426928848">
      <w:bodyDiv w:val="1"/>
      <w:marLeft w:val="0"/>
      <w:marRight w:val="0"/>
      <w:marTop w:val="0"/>
      <w:marBottom w:val="0"/>
      <w:divBdr>
        <w:top w:val="none" w:sz="0" w:space="0" w:color="auto"/>
        <w:left w:val="none" w:sz="0" w:space="0" w:color="auto"/>
        <w:bottom w:val="none" w:sz="0" w:space="0" w:color="auto"/>
        <w:right w:val="none" w:sz="0" w:space="0" w:color="auto"/>
      </w:divBdr>
    </w:div>
    <w:div w:id="506023215">
      <w:bodyDiv w:val="1"/>
      <w:marLeft w:val="0"/>
      <w:marRight w:val="0"/>
      <w:marTop w:val="0"/>
      <w:marBottom w:val="0"/>
      <w:divBdr>
        <w:top w:val="none" w:sz="0" w:space="0" w:color="auto"/>
        <w:left w:val="none" w:sz="0" w:space="0" w:color="auto"/>
        <w:bottom w:val="none" w:sz="0" w:space="0" w:color="auto"/>
        <w:right w:val="none" w:sz="0" w:space="0" w:color="auto"/>
      </w:divBdr>
    </w:div>
    <w:div w:id="510529819">
      <w:bodyDiv w:val="1"/>
      <w:marLeft w:val="0"/>
      <w:marRight w:val="0"/>
      <w:marTop w:val="0"/>
      <w:marBottom w:val="0"/>
      <w:divBdr>
        <w:top w:val="none" w:sz="0" w:space="0" w:color="auto"/>
        <w:left w:val="none" w:sz="0" w:space="0" w:color="auto"/>
        <w:bottom w:val="none" w:sz="0" w:space="0" w:color="auto"/>
        <w:right w:val="none" w:sz="0" w:space="0" w:color="auto"/>
      </w:divBdr>
    </w:div>
    <w:div w:id="564948877">
      <w:bodyDiv w:val="1"/>
      <w:marLeft w:val="0"/>
      <w:marRight w:val="0"/>
      <w:marTop w:val="0"/>
      <w:marBottom w:val="0"/>
      <w:divBdr>
        <w:top w:val="none" w:sz="0" w:space="0" w:color="auto"/>
        <w:left w:val="none" w:sz="0" w:space="0" w:color="auto"/>
        <w:bottom w:val="none" w:sz="0" w:space="0" w:color="auto"/>
        <w:right w:val="none" w:sz="0" w:space="0" w:color="auto"/>
      </w:divBdr>
    </w:div>
    <w:div w:id="662247870">
      <w:bodyDiv w:val="1"/>
      <w:marLeft w:val="0"/>
      <w:marRight w:val="0"/>
      <w:marTop w:val="0"/>
      <w:marBottom w:val="0"/>
      <w:divBdr>
        <w:top w:val="none" w:sz="0" w:space="0" w:color="auto"/>
        <w:left w:val="none" w:sz="0" w:space="0" w:color="auto"/>
        <w:bottom w:val="none" w:sz="0" w:space="0" w:color="auto"/>
        <w:right w:val="none" w:sz="0" w:space="0" w:color="auto"/>
      </w:divBdr>
    </w:div>
    <w:div w:id="707680716">
      <w:bodyDiv w:val="1"/>
      <w:marLeft w:val="0"/>
      <w:marRight w:val="0"/>
      <w:marTop w:val="0"/>
      <w:marBottom w:val="0"/>
      <w:divBdr>
        <w:top w:val="none" w:sz="0" w:space="0" w:color="auto"/>
        <w:left w:val="none" w:sz="0" w:space="0" w:color="auto"/>
        <w:bottom w:val="none" w:sz="0" w:space="0" w:color="auto"/>
        <w:right w:val="none" w:sz="0" w:space="0" w:color="auto"/>
      </w:divBdr>
    </w:div>
    <w:div w:id="733699618">
      <w:bodyDiv w:val="1"/>
      <w:marLeft w:val="0"/>
      <w:marRight w:val="0"/>
      <w:marTop w:val="0"/>
      <w:marBottom w:val="0"/>
      <w:divBdr>
        <w:top w:val="none" w:sz="0" w:space="0" w:color="auto"/>
        <w:left w:val="none" w:sz="0" w:space="0" w:color="auto"/>
        <w:bottom w:val="none" w:sz="0" w:space="0" w:color="auto"/>
        <w:right w:val="none" w:sz="0" w:space="0" w:color="auto"/>
      </w:divBdr>
    </w:div>
    <w:div w:id="836766467">
      <w:bodyDiv w:val="1"/>
      <w:marLeft w:val="0"/>
      <w:marRight w:val="0"/>
      <w:marTop w:val="0"/>
      <w:marBottom w:val="0"/>
      <w:divBdr>
        <w:top w:val="none" w:sz="0" w:space="0" w:color="auto"/>
        <w:left w:val="none" w:sz="0" w:space="0" w:color="auto"/>
        <w:bottom w:val="none" w:sz="0" w:space="0" w:color="auto"/>
        <w:right w:val="none" w:sz="0" w:space="0" w:color="auto"/>
      </w:divBdr>
    </w:div>
    <w:div w:id="878737201">
      <w:bodyDiv w:val="1"/>
      <w:marLeft w:val="0"/>
      <w:marRight w:val="0"/>
      <w:marTop w:val="0"/>
      <w:marBottom w:val="0"/>
      <w:divBdr>
        <w:top w:val="none" w:sz="0" w:space="0" w:color="auto"/>
        <w:left w:val="none" w:sz="0" w:space="0" w:color="auto"/>
        <w:bottom w:val="none" w:sz="0" w:space="0" w:color="auto"/>
        <w:right w:val="none" w:sz="0" w:space="0" w:color="auto"/>
      </w:divBdr>
    </w:div>
    <w:div w:id="892078643">
      <w:bodyDiv w:val="1"/>
      <w:marLeft w:val="0"/>
      <w:marRight w:val="0"/>
      <w:marTop w:val="0"/>
      <w:marBottom w:val="0"/>
      <w:divBdr>
        <w:top w:val="none" w:sz="0" w:space="0" w:color="auto"/>
        <w:left w:val="none" w:sz="0" w:space="0" w:color="auto"/>
        <w:bottom w:val="none" w:sz="0" w:space="0" w:color="auto"/>
        <w:right w:val="none" w:sz="0" w:space="0" w:color="auto"/>
      </w:divBdr>
    </w:div>
    <w:div w:id="893659659">
      <w:bodyDiv w:val="1"/>
      <w:marLeft w:val="0"/>
      <w:marRight w:val="0"/>
      <w:marTop w:val="0"/>
      <w:marBottom w:val="0"/>
      <w:divBdr>
        <w:top w:val="none" w:sz="0" w:space="0" w:color="auto"/>
        <w:left w:val="none" w:sz="0" w:space="0" w:color="auto"/>
        <w:bottom w:val="none" w:sz="0" w:space="0" w:color="auto"/>
        <w:right w:val="none" w:sz="0" w:space="0" w:color="auto"/>
      </w:divBdr>
    </w:div>
    <w:div w:id="925267033">
      <w:bodyDiv w:val="1"/>
      <w:marLeft w:val="0"/>
      <w:marRight w:val="0"/>
      <w:marTop w:val="0"/>
      <w:marBottom w:val="0"/>
      <w:divBdr>
        <w:top w:val="none" w:sz="0" w:space="0" w:color="auto"/>
        <w:left w:val="none" w:sz="0" w:space="0" w:color="auto"/>
        <w:bottom w:val="none" w:sz="0" w:space="0" w:color="auto"/>
        <w:right w:val="none" w:sz="0" w:space="0" w:color="auto"/>
      </w:divBdr>
    </w:div>
    <w:div w:id="996803868">
      <w:bodyDiv w:val="1"/>
      <w:marLeft w:val="0"/>
      <w:marRight w:val="0"/>
      <w:marTop w:val="0"/>
      <w:marBottom w:val="0"/>
      <w:divBdr>
        <w:top w:val="none" w:sz="0" w:space="0" w:color="auto"/>
        <w:left w:val="none" w:sz="0" w:space="0" w:color="auto"/>
        <w:bottom w:val="none" w:sz="0" w:space="0" w:color="auto"/>
        <w:right w:val="none" w:sz="0" w:space="0" w:color="auto"/>
      </w:divBdr>
    </w:div>
    <w:div w:id="1036392371">
      <w:bodyDiv w:val="1"/>
      <w:marLeft w:val="0"/>
      <w:marRight w:val="0"/>
      <w:marTop w:val="0"/>
      <w:marBottom w:val="0"/>
      <w:divBdr>
        <w:top w:val="none" w:sz="0" w:space="0" w:color="auto"/>
        <w:left w:val="none" w:sz="0" w:space="0" w:color="auto"/>
        <w:bottom w:val="none" w:sz="0" w:space="0" w:color="auto"/>
        <w:right w:val="none" w:sz="0" w:space="0" w:color="auto"/>
      </w:divBdr>
    </w:div>
    <w:div w:id="1043940265">
      <w:bodyDiv w:val="1"/>
      <w:marLeft w:val="0"/>
      <w:marRight w:val="0"/>
      <w:marTop w:val="0"/>
      <w:marBottom w:val="0"/>
      <w:divBdr>
        <w:top w:val="none" w:sz="0" w:space="0" w:color="auto"/>
        <w:left w:val="none" w:sz="0" w:space="0" w:color="auto"/>
        <w:bottom w:val="none" w:sz="0" w:space="0" w:color="auto"/>
        <w:right w:val="none" w:sz="0" w:space="0" w:color="auto"/>
      </w:divBdr>
    </w:div>
    <w:div w:id="1049913193">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123158061">
      <w:bodyDiv w:val="1"/>
      <w:marLeft w:val="0"/>
      <w:marRight w:val="0"/>
      <w:marTop w:val="0"/>
      <w:marBottom w:val="0"/>
      <w:divBdr>
        <w:top w:val="none" w:sz="0" w:space="0" w:color="auto"/>
        <w:left w:val="none" w:sz="0" w:space="0" w:color="auto"/>
        <w:bottom w:val="none" w:sz="0" w:space="0" w:color="auto"/>
        <w:right w:val="none" w:sz="0" w:space="0" w:color="auto"/>
      </w:divBdr>
    </w:div>
    <w:div w:id="1128399416">
      <w:bodyDiv w:val="1"/>
      <w:marLeft w:val="0"/>
      <w:marRight w:val="0"/>
      <w:marTop w:val="0"/>
      <w:marBottom w:val="0"/>
      <w:divBdr>
        <w:top w:val="none" w:sz="0" w:space="0" w:color="auto"/>
        <w:left w:val="none" w:sz="0" w:space="0" w:color="auto"/>
        <w:bottom w:val="none" w:sz="0" w:space="0" w:color="auto"/>
        <w:right w:val="none" w:sz="0" w:space="0" w:color="auto"/>
      </w:divBdr>
    </w:div>
    <w:div w:id="1132744654">
      <w:bodyDiv w:val="1"/>
      <w:marLeft w:val="0"/>
      <w:marRight w:val="0"/>
      <w:marTop w:val="0"/>
      <w:marBottom w:val="0"/>
      <w:divBdr>
        <w:top w:val="none" w:sz="0" w:space="0" w:color="auto"/>
        <w:left w:val="none" w:sz="0" w:space="0" w:color="auto"/>
        <w:bottom w:val="none" w:sz="0" w:space="0" w:color="auto"/>
        <w:right w:val="none" w:sz="0" w:space="0" w:color="auto"/>
      </w:divBdr>
    </w:div>
    <w:div w:id="1149437359">
      <w:bodyDiv w:val="1"/>
      <w:marLeft w:val="0"/>
      <w:marRight w:val="0"/>
      <w:marTop w:val="0"/>
      <w:marBottom w:val="0"/>
      <w:divBdr>
        <w:top w:val="none" w:sz="0" w:space="0" w:color="auto"/>
        <w:left w:val="none" w:sz="0" w:space="0" w:color="auto"/>
        <w:bottom w:val="none" w:sz="0" w:space="0" w:color="auto"/>
        <w:right w:val="none" w:sz="0" w:space="0" w:color="auto"/>
      </w:divBdr>
    </w:div>
    <w:div w:id="1242332173">
      <w:bodyDiv w:val="1"/>
      <w:marLeft w:val="0"/>
      <w:marRight w:val="0"/>
      <w:marTop w:val="0"/>
      <w:marBottom w:val="0"/>
      <w:divBdr>
        <w:top w:val="none" w:sz="0" w:space="0" w:color="auto"/>
        <w:left w:val="none" w:sz="0" w:space="0" w:color="auto"/>
        <w:bottom w:val="none" w:sz="0" w:space="0" w:color="auto"/>
        <w:right w:val="none" w:sz="0" w:space="0" w:color="auto"/>
      </w:divBdr>
    </w:div>
    <w:div w:id="1246958340">
      <w:bodyDiv w:val="1"/>
      <w:marLeft w:val="0"/>
      <w:marRight w:val="0"/>
      <w:marTop w:val="0"/>
      <w:marBottom w:val="0"/>
      <w:divBdr>
        <w:top w:val="none" w:sz="0" w:space="0" w:color="auto"/>
        <w:left w:val="none" w:sz="0" w:space="0" w:color="auto"/>
        <w:bottom w:val="none" w:sz="0" w:space="0" w:color="auto"/>
        <w:right w:val="none" w:sz="0" w:space="0" w:color="auto"/>
      </w:divBdr>
    </w:div>
    <w:div w:id="1252277255">
      <w:bodyDiv w:val="1"/>
      <w:marLeft w:val="0"/>
      <w:marRight w:val="0"/>
      <w:marTop w:val="0"/>
      <w:marBottom w:val="0"/>
      <w:divBdr>
        <w:top w:val="none" w:sz="0" w:space="0" w:color="auto"/>
        <w:left w:val="none" w:sz="0" w:space="0" w:color="auto"/>
        <w:bottom w:val="none" w:sz="0" w:space="0" w:color="auto"/>
        <w:right w:val="none" w:sz="0" w:space="0" w:color="auto"/>
      </w:divBdr>
    </w:div>
    <w:div w:id="1273317638">
      <w:bodyDiv w:val="1"/>
      <w:marLeft w:val="0"/>
      <w:marRight w:val="0"/>
      <w:marTop w:val="0"/>
      <w:marBottom w:val="0"/>
      <w:divBdr>
        <w:top w:val="none" w:sz="0" w:space="0" w:color="auto"/>
        <w:left w:val="none" w:sz="0" w:space="0" w:color="auto"/>
        <w:bottom w:val="none" w:sz="0" w:space="0" w:color="auto"/>
        <w:right w:val="none" w:sz="0" w:space="0" w:color="auto"/>
      </w:divBdr>
    </w:div>
    <w:div w:id="1352564083">
      <w:bodyDiv w:val="1"/>
      <w:marLeft w:val="0"/>
      <w:marRight w:val="0"/>
      <w:marTop w:val="0"/>
      <w:marBottom w:val="0"/>
      <w:divBdr>
        <w:top w:val="none" w:sz="0" w:space="0" w:color="auto"/>
        <w:left w:val="none" w:sz="0" w:space="0" w:color="auto"/>
        <w:bottom w:val="none" w:sz="0" w:space="0" w:color="auto"/>
        <w:right w:val="none" w:sz="0" w:space="0" w:color="auto"/>
      </w:divBdr>
    </w:div>
    <w:div w:id="1364021038">
      <w:bodyDiv w:val="1"/>
      <w:marLeft w:val="0"/>
      <w:marRight w:val="0"/>
      <w:marTop w:val="0"/>
      <w:marBottom w:val="0"/>
      <w:divBdr>
        <w:top w:val="none" w:sz="0" w:space="0" w:color="auto"/>
        <w:left w:val="none" w:sz="0" w:space="0" w:color="auto"/>
        <w:bottom w:val="none" w:sz="0" w:space="0" w:color="auto"/>
        <w:right w:val="none" w:sz="0" w:space="0" w:color="auto"/>
      </w:divBdr>
    </w:div>
    <w:div w:id="1364794034">
      <w:bodyDiv w:val="1"/>
      <w:marLeft w:val="0"/>
      <w:marRight w:val="0"/>
      <w:marTop w:val="0"/>
      <w:marBottom w:val="0"/>
      <w:divBdr>
        <w:top w:val="none" w:sz="0" w:space="0" w:color="auto"/>
        <w:left w:val="none" w:sz="0" w:space="0" w:color="auto"/>
        <w:bottom w:val="none" w:sz="0" w:space="0" w:color="auto"/>
        <w:right w:val="none" w:sz="0" w:space="0" w:color="auto"/>
      </w:divBdr>
    </w:div>
    <w:div w:id="1395540259">
      <w:bodyDiv w:val="1"/>
      <w:marLeft w:val="0"/>
      <w:marRight w:val="0"/>
      <w:marTop w:val="0"/>
      <w:marBottom w:val="0"/>
      <w:divBdr>
        <w:top w:val="none" w:sz="0" w:space="0" w:color="auto"/>
        <w:left w:val="none" w:sz="0" w:space="0" w:color="auto"/>
        <w:bottom w:val="none" w:sz="0" w:space="0" w:color="auto"/>
        <w:right w:val="none" w:sz="0" w:space="0" w:color="auto"/>
      </w:divBdr>
    </w:div>
    <w:div w:id="1395856855">
      <w:bodyDiv w:val="1"/>
      <w:marLeft w:val="0"/>
      <w:marRight w:val="0"/>
      <w:marTop w:val="0"/>
      <w:marBottom w:val="0"/>
      <w:divBdr>
        <w:top w:val="none" w:sz="0" w:space="0" w:color="auto"/>
        <w:left w:val="none" w:sz="0" w:space="0" w:color="auto"/>
        <w:bottom w:val="none" w:sz="0" w:space="0" w:color="auto"/>
        <w:right w:val="none" w:sz="0" w:space="0" w:color="auto"/>
      </w:divBdr>
    </w:div>
    <w:div w:id="1398243093">
      <w:bodyDiv w:val="1"/>
      <w:marLeft w:val="0"/>
      <w:marRight w:val="0"/>
      <w:marTop w:val="0"/>
      <w:marBottom w:val="0"/>
      <w:divBdr>
        <w:top w:val="none" w:sz="0" w:space="0" w:color="auto"/>
        <w:left w:val="none" w:sz="0" w:space="0" w:color="auto"/>
        <w:bottom w:val="none" w:sz="0" w:space="0" w:color="auto"/>
        <w:right w:val="none" w:sz="0" w:space="0" w:color="auto"/>
      </w:divBdr>
    </w:div>
    <w:div w:id="1406878355">
      <w:bodyDiv w:val="1"/>
      <w:marLeft w:val="0"/>
      <w:marRight w:val="0"/>
      <w:marTop w:val="0"/>
      <w:marBottom w:val="0"/>
      <w:divBdr>
        <w:top w:val="none" w:sz="0" w:space="0" w:color="auto"/>
        <w:left w:val="none" w:sz="0" w:space="0" w:color="auto"/>
        <w:bottom w:val="none" w:sz="0" w:space="0" w:color="auto"/>
        <w:right w:val="none" w:sz="0" w:space="0" w:color="auto"/>
      </w:divBdr>
    </w:div>
    <w:div w:id="1447044858">
      <w:bodyDiv w:val="1"/>
      <w:marLeft w:val="0"/>
      <w:marRight w:val="0"/>
      <w:marTop w:val="0"/>
      <w:marBottom w:val="0"/>
      <w:divBdr>
        <w:top w:val="none" w:sz="0" w:space="0" w:color="auto"/>
        <w:left w:val="none" w:sz="0" w:space="0" w:color="auto"/>
        <w:bottom w:val="none" w:sz="0" w:space="0" w:color="auto"/>
        <w:right w:val="none" w:sz="0" w:space="0" w:color="auto"/>
      </w:divBdr>
    </w:div>
    <w:div w:id="1455051643">
      <w:bodyDiv w:val="1"/>
      <w:marLeft w:val="0"/>
      <w:marRight w:val="0"/>
      <w:marTop w:val="0"/>
      <w:marBottom w:val="0"/>
      <w:divBdr>
        <w:top w:val="none" w:sz="0" w:space="0" w:color="auto"/>
        <w:left w:val="none" w:sz="0" w:space="0" w:color="auto"/>
        <w:bottom w:val="none" w:sz="0" w:space="0" w:color="auto"/>
        <w:right w:val="none" w:sz="0" w:space="0" w:color="auto"/>
      </w:divBdr>
    </w:div>
    <w:div w:id="1472752165">
      <w:bodyDiv w:val="1"/>
      <w:marLeft w:val="0"/>
      <w:marRight w:val="0"/>
      <w:marTop w:val="0"/>
      <w:marBottom w:val="0"/>
      <w:divBdr>
        <w:top w:val="none" w:sz="0" w:space="0" w:color="auto"/>
        <w:left w:val="none" w:sz="0" w:space="0" w:color="auto"/>
        <w:bottom w:val="none" w:sz="0" w:space="0" w:color="auto"/>
        <w:right w:val="none" w:sz="0" w:space="0" w:color="auto"/>
      </w:divBdr>
    </w:div>
    <w:div w:id="1514301860">
      <w:bodyDiv w:val="1"/>
      <w:marLeft w:val="0"/>
      <w:marRight w:val="0"/>
      <w:marTop w:val="0"/>
      <w:marBottom w:val="0"/>
      <w:divBdr>
        <w:top w:val="none" w:sz="0" w:space="0" w:color="auto"/>
        <w:left w:val="none" w:sz="0" w:space="0" w:color="auto"/>
        <w:bottom w:val="none" w:sz="0" w:space="0" w:color="auto"/>
        <w:right w:val="none" w:sz="0" w:space="0" w:color="auto"/>
      </w:divBdr>
    </w:div>
    <w:div w:id="1516580500">
      <w:bodyDiv w:val="1"/>
      <w:marLeft w:val="0"/>
      <w:marRight w:val="0"/>
      <w:marTop w:val="0"/>
      <w:marBottom w:val="0"/>
      <w:divBdr>
        <w:top w:val="none" w:sz="0" w:space="0" w:color="auto"/>
        <w:left w:val="none" w:sz="0" w:space="0" w:color="auto"/>
        <w:bottom w:val="none" w:sz="0" w:space="0" w:color="auto"/>
        <w:right w:val="none" w:sz="0" w:space="0" w:color="auto"/>
      </w:divBdr>
    </w:div>
    <w:div w:id="1519154406">
      <w:bodyDiv w:val="1"/>
      <w:marLeft w:val="0"/>
      <w:marRight w:val="0"/>
      <w:marTop w:val="0"/>
      <w:marBottom w:val="0"/>
      <w:divBdr>
        <w:top w:val="none" w:sz="0" w:space="0" w:color="auto"/>
        <w:left w:val="none" w:sz="0" w:space="0" w:color="auto"/>
        <w:bottom w:val="none" w:sz="0" w:space="0" w:color="auto"/>
        <w:right w:val="none" w:sz="0" w:space="0" w:color="auto"/>
      </w:divBdr>
    </w:div>
    <w:div w:id="1557280925">
      <w:bodyDiv w:val="1"/>
      <w:marLeft w:val="0"/>
      <w:marRight w:val="0"/>
      <w:marTop w:val="0"/>
      <w:marBottom w:val="0"/>
      <w:divBdr>
        <w:top w:val="none" w:sz="0" w:space="0" w:color="auto"/>
        <w:left w:val="none" w:sz="0" w:space="0" w:color="auto"/>
        <w:bottom w:val="none" w:sz="0" w:space="0" w:color="auto"/>
        <w:right w:val="none" w:sz="0" w:space="0" w:color="auto"/>
      </w:divBdr>
    </w:div>
    <w:div w:id="1580748306">
      <w:bodyDiv w:val="1"/>
      <w:marLeft w:val="0"/>
      <w:marRight w:val="0"/>
      <w:marTop w:val="0"/>
      <w:marBottom w:val="0"/>
      <w:divBdr>
        <w:top w:val="none" w:sz="0" w:space="0" w:color="auto"/>
        <w:left w:val="none" w:sz="0" w:space="0" w:color="auto"/>
        <w:bottom w:val="none" w:sz="0" w:space="0" w:color="auto"/>
        <w:right w:val="none" w:sz="0" w:space="0" w:color="auto"/>
      </w:divBdr>
    </w:div>
    <w:div w:id="1586650039">
      <w:bodyDiv w:val="1"/>
      <w:marLeft w:val="0"/>
      <w:marRight w:val="0"/>
      <w:marTop w:val="0"/>
      <w:marBottom w:val="0"/>
      <w:divBdr>
        <w:top w:val="none" w:sz="0" w:space="0" w:color="auto"/>
        <w:left w:val="none" w:sz="0" w:space="0" w:color="auto"/>
        <w:bottom w:val="none" w:sz="0" w:space="0" w:color="auto"/>
        <w:right w:val="none" w:sz="0" w:space="0" w:color="auto"/>
      </w:divBdr>
    </w:div>
    <w:div w:id="1665821437">
      <w:bodyDiv w:val="1"/>
      <w:marLeft w:val="0"/>
      <w:marRight w:val="0"/>
      <w:marTop w:val="0"/>
      <w:marBottom w:val="0"/>
      <w:divBdr>
        <w:top w:val="none" w:sz="0" w:space="0" w:color="auto"/>
        <w:left w:val="none" w:sz="0" w:space="0" w:color="auto"/>
        <w:bottom w:val="none" w:sz="0" w:space="0" w:color="auto"/>
        <w:right w:val="none" w:sz="0" w:space="0" w:color="auto"/>
      </w:divBdr>
    </w:div>
    <w:div w:id="1673797304">
      <w:bodyDiv w:val="1"/>
      <w:marLeft w:val="0"/>
      <w:marRight w:val="0"/>
      <w:marTop w:val="0"/>
      <w:marBottom w:val="0"/>
      <w:divBdr>
        <w:top w:val="none" w:sz="0" w:space="0" w:color="auto"/>
        <w:left w:val="none" w:sz="0" w:space="0" w:color="auto"/>
        <w:bottom w:val="none" w:sz="0" w:space="0" w:color="auto"/>
        <w:right w:val="none" w:sz="0" w:space="0" w:color="auto"/>
      </w:divBdr>
    </w:div>
    <w:div w:id="1680084347">
      <w:bodyDiv w:val="1"/>
      <w:marLeft w:val="0"/>
      <w:marRight w:val="0"/>
      <w:marTop w:val="0"/>
      <w:marBottom w:val="0"/>
      <w:divBdr>
        <w:top w:val="none" w:sz="0" w:space="0" w:color="auto"/>
        <w:left w:val="none" w:sz="0" w:space="0" w:color="auto"/>
        <w:bottom w:val="none" w:sz="0" w:space="0" w:color="auto"/>
        <w:right w:val="none" w:sz="0" w:space="0" w:color="auto"/>
      </w:divBdr>
    </w:div>
    <w:div w:id="1744334426">
      <w:bodyDiv w:val="1"/>
      <w:marLeft w:val="0"/>
      <w:marRight w:val="0"/>
      <w:marTop w:val="0"/>
      <w:marBottom w:val="0"/>
      <w:divBdr>
        <w:top w:val="none" w:sz="0" w:space="0" w:color="auto"/>
        <w:left w:val="none" w:sz="0" w:space="0" w:color="auto"/>
        <w:bottom w:val="none" w:sz="0" w:space="0" w:color="auto"/>
        <w:right w:val="none" w:sz="0" w:space="0" w:color="auto"/>
      </w:divBdr>
    </w:div>
    <w:div w:id="1746797900">
      <w:bodyDiv w:val="1"/>
      <w:marLeft w:val="0"/>
      <w:marRight w:val="0"/>
      <w:marTop w:val="0"/>
      <w:marBottom w:val="0"/>
      <w:divBdr>
        <w:top w:val="none" w:sz="0" w:space="0" w:color="auto"/>
        <w:left w:val="none" w:sz="0" w:space="0" w:color="auto"/>
        <w:bottom w:val="none" w:sz="0" w:space="0" w:color="auto"/>
        <w:right w:val="none" w:sz="0" w:space="0" w:color="auto"/>
      </w:divBdr>
    </w:div>
    <w:div w:id="1813407533">
      <w:bodyDiv w:val="1"/>
      <w:marLeft w:val="0"/>
      <w:marRight w:val="0"/>
      <w:marTop w:val="0"/>
      <w:marBottom w:val="0"/>
      <w:divBdr>
        <w:top w:val="none" w:sz="0" w:space="0" w:color="auto"/>
        <w:left w:val="none" w:sz="0" w:space="0" w:color="auto"/>
        <w:bottom w:val="none" w:sz="0" w:space="0" w:color="auto"/>
        <w:right w:val="none" w:sz="0" w:space="0" w:color="auto"/>
      </w:divBdr>
    </w:div>
    <w:div w:id="1821261913">
      <w:bodyDiv w:val="1"/>
      <w:marLeft w:val="0"/>
      <w:marRight w:val="0"/>
      <w:marTop w:val="0"/>
      <w:marBottom w:val="0"/>
      <w:divBdr>
        <w:top w:val="none" w:sz="0" w:space="0" w:color="auto"/>
        <w:left w:val="none" w:sz="0" w:space="0" w:color="auto"/>
        <w:bottom w:val="none" w:sz="0" w:space="0" w:color="auto"/>
        <w:right w:val="none" w:sz="0" w:space="0" w:color="auto"/>
      </w:divBdr>
    </w:div>
    <w:div w:id="1824001288">
      <w:bodyDiv w:val="1"/>
      <w:marLeft w:val="0"/>
      <w:marRight w:val="0"/>
      <w:marTop w:val="0"/>
      <w:marBottom w:val="0"/>
      <w:divBdr>
        <w:top w:val="none" w:sz="0" w:space="0" w:color="auto"/>
        <w:left w:val="none" w:sz="0" w:space="0" w:color="auto"/>
        <w:bottom w:val="none" w:sz="0" w:space="0" w:color="auto"/>
        <w:right w:val="none" w:sz="0" w:space="0" w:color="auto"/>
      </w:divBdr>
    </w:div>
    <w:div w:id="1915628440">
      <w:bodyDiv w:val="1"/>
      <w:marLeft w:val="0"/>
      <w:marRight w:val="0"/>
      <w:marTop w:val="0"/>
      <w:marBottom w:val="0"/>
      <w:divBdr>
        <w:top w:val="none" w:sz="0" w:space="0" w:color="auto"/>
        <w:left w:val="none" w:sz="0" w:space="0" w:color="auto"/>
        <w:bottom w:val="none" w:sz="0" w:space="0" w:color="auto"/>
        <w:right w:val="none" w:sz="0" w:space="0" w:color="auto"/>
      </w:divBdr>
    </w:div>
    <w:div w:id="1920560744">
      <w:bodyDiv w:val="1"/>
      <w:marLeft w:val="0"/>
      <w:marRight w:val="0"/>
      <w:marTop w:val="0"/>
      <w:marBottom w:val="0"/>
      <w:divBdr>
        <w:top w:val="none" w:sz="0" w:space="0" w:color="auto"/>
        <w:left w:val="none" w:sz="0" w:space="0" w:color="auto"/>
        <w:bottom w:val="none" w:sz="0" w:space="0" w:color="auto"/>
        <w:right w:val="none" w:sz="0" w:space="0" w:color="auto"/>
      </w:divBdr>
    </w:div>
    <w:div w:id="1944339893">
      <w:bodyDiv w:val="1"/>
      <w:marLeft w:val="0"/>
      <w:marRight w:val="0"/>
      <w:marTop w:val="0"/>
      <w:marBottom w:val="0"/>
      <w:divBdr>
        <w:top w:val="none" w:sz="0" w:space="0" w:color="auto"/>
        <w:left w:val="none" w:sz="0" w:space="0" w:color="auto"/>
        <w:bottom w:val="none" w:sz="0" w:space="0" w:color="auto"/>
        <w:right w:val="none" w:sz="0" w:space="0" w:color="auto"/>
      </w:divBdr>
    </w:div>
    <w:div w:id="1968274969">
      <w:bodyDiv w:val="1"/>
      <w:marLeft w:val="0"/>
      <w:marRight w:val="0"/>
      <w:marTop w:val="0"/>
      <w:marBottom w:val="0"/>
      <w:divBdr>
        <w:top w:val="none" w:sz="0" w:space="0" w:color="auto"/>
        <w:left w:val="none" w:sz="0" w:space="0" w:color="auto"/>
        <w:bottom w:val="none" w:sz="0" w:space="0" w:color="auto"/>
        <w:right w:val="none" w:sz="0" w:space="0" w:color="auto"/>
      </w:divBdr>
    </w:div>
    <w:div w:id="1978101361">
      <w:bodyDiv w:val="1"/>
      <w:marLeft w:val="0"/>
      <w:marRight w:val="0"/>
      <w:marTop w:val="0"/>
      <w:marBottom w:val="0"/>
      <w:divBdr>
        <w:top w:val="none" w:sz="0" w:space="0" w:color="auto"/>
        <w:left w:val="none" w:sz="0" w:space="0" w:color="auto"/>
        <w:bottom w:val="none" w:sz="0" w:space="0" w:color="auto"/>
        <w:right w:val="none" w:sz="0" w:space="0" w:color="auto"/>
      </w:divBdr>
    </w:div>
    <w:div w:id="1985159268">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2657973">
      <w:bodyDiv w:val="1"/>
      <w:marLeft w:val="0"/>
      <w:marRight w:val="0"/>
      <w:marTop w:val="0"/>
      <w:marBottom w:val="0"/>
      <w:divBdr>
        <w:top w:val="none" w:sz="0" w:space="0" w:color="auto"/>
        <w:left w:val="none" w:sz="0" w:space="0" w:color="auto"/>
        <w:bottom w:val="none" w:sz="0" w:space="0" w:color="auto"/>
        <w:right w:val="none" w:sz="0" w:space="0" w:color="auto"/>
      </w:divBdr>
    </w:div>
    <w:div w:id="2084571170">
      <w:bodyDiv w:val="1"/>
      <w:marLeft w:val="0"/>
      <w:marRight w:val="0"/>
      <w:marTop w:val="0"/>
      <w:marBottom w:val="0"/>
      <w:divBdr>
        <w:top w:val="none" w:sz="0" w:space="0" w:color="auto"/>
        <w:left w:val="none" w:sz="0" w:space="0" w:color="auto"/>
        <w:bottom w:val="none" w:sz="0" w:space="0" w:color="auto"/>
        <w:right w:val="none" w:sz="0" w:space="0" w:color="auto"/>
      </w:divBdr>
    </w:div>
    <w:div w:id="2089303275">
      <w:bodyDiv w:val="1"/>
      <w:marLeft w:val="0"/>
      <w:marRight w:val="0"/>
      <w:marTop w:val="0"/>
      <w:marBottom w:val="0"/>
      <w:divBdr>
        <w:top w:val="none" w:sz="0" w:space="0" w:color="auto"/>
        <w:left w:val="none" w:sz="0" w:space="0" w:color="auto"/>
        <w:bottom w:val="none" w:sz="0" w:space="0" w:color="auto"/>
        <w:right w:val="none" w:sz="0" w:space="0" w:color="auto"/>
      </w:divBdr>
    </w:div>
    <w:div w:id="2091081600">
      <w:bodyDiv w:val="1"/>
      <w:marLeft w:val="0"/>
      <w:marRight w:val="0"/>
      <w:marTop w:val="0"/>
      <w:marBottom w:val="0"/>
      <w:divBdr>
        <w:top w:val="none" w:sz="0" w:space="0" w:color="auto"/>
        <w:left w:val="none" w:sz="0" w:space="0" w:color="auto"/>
        <w:bottom w:val="none" w:sz="0" w:space="0" w:color="auto"/>
        <w:right w:val="none" w:sz="0" w:space="0" w:color="auto"/>
      </w:divBdr>
    </w:div>
    <w:div w:id="214565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hyperlink" Target="http://www.energizect.com" TargetMode="External"/><Relationship Id="rId2" Type="http://schemas.openxmlformats.org/officeDocument/2006/relationships/image" Target="media/image2.emf"/><Relationship Id="rId1" Type="http://schemas.openxmlformats.org/officeDocument/2006/relationships/hyperlink" Target="http://www.ct.gov/ctportal/cwp/view.asp?a=843&amp;q=246434" TargetMode="External"/><Relationship Id="rId6" Type="http://schemas.openxmlformats.org/officeDocument/2006/relationships/hyperlink" Target="http://www.energychoicematters.com/stories/20120718a.html" TargetMode="External"/><Relationship Id="rId5" Type="http://schemas.openxmlformats.org/officeDocument/2006/relationships/hyperlink" Target="http://www.ct.gov/pura/cwp/view.asp?a=3352&amp;q=405212&amp;puraNav=|" TargetMode="External"/><Relationship Id="rId4" Type="http://schemas.openxmlformats.org/officeDocument/2006/relationships/hyperlink" Target="http://www.ct.gov/pura/cwp/view.asp?a=3352&amp;q=40405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arahbosley:Documents:Consulting:Connecticut%20Electric:Price%20Graph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arahbosley:Documents:Consulting:Connecticut%20Electric:Price%20Graphi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sarahbosley:Documents:Consulting:Connecticut%20Electric:UI%20Pie%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sarahbosley:Documents:Consulting:Connecticut%20Electric:UI%20Pie%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7019122609673802E-2"/>
          <c:y val="0.13528017513094701"/>
          <c:w val="0.49029021372328502"/>
          <c:h val="0.79930864537129398"/>
        </c:manualLayout>
      </c:layout>
      <c:pieChart>
        <c:varyColors val="1"/>
        <c:ser>
          <c:idx val="0"/>
          <c:order val="0"/>
          <c:explosion val="1"/>
          <c:dPt>
            <c:idx val="0"/>
            <c:bubble3D val="0"/>
            <c:spPr>
              <a:pattFill prst="pct40">
                <a:fgClr>
                  <a:schemeClr val="tx1"/>
                </a:fgClr>
                <a:bgClr>
                  <a:srgbClr val="008000"/>
                </a:bgClr>
              </a:pattFill>
            </c:spPr>
          </c:dPt>
          <c:dPt>
            <c:idx val="1"/>
            <c:bubble3D val="0"/>
            <c:spPr>
              <a:pattFill prst="dashDnDiag">
                <a:fgClr>
                  <a:schemeClr val="tx1"/>
                </a:fgClr>
                <a:bgClr>
                  <a:srgbClr val="0000FF"/>
                </a:bgClr>
              </a:pattFill>
            </c:spPr>
          </c:dPt>
          <c:dPt>
            <c:idx val="2"/>
            <c:bubble3D val="0"/>
            <c:spPr>
              <a:pattFill prst="pct20">
                <a:fgClr>
                  <a:schemeClr val="tx1"/>
                </a:fgClr>
                <a:bgClr>
                  <a:srgbClr val="FFFF00"/>
                </a:bgClr>
              </a:pattFill>
            </c:spPr>
          </c:dPt>
          <c:dPt>
            <c:idx val="3"/>
            <c:bubble3D val="0"/>
            <c:spPr>
              <a:pattFill prst="ltDnDiag">
                <a:fgClr>
                  <a:schemeClr val="tx1"/>
                </a:fgClr>
                <a:bgClr>
                  <a:srgbClr val="660066"/>
                </a:bgClr>
              </a:pattFill>
            </c:spPr>
          </c:dPt>
          <c:dPt>
            <c:idx val="4"/>
            <c:bubble3D val="0"/>
            <c:spPr>
              <a:pattFill prst="diagBrick">
                <a:fgClr>
                  <a:schemeClr val="tx1"/>
                </a:fgClr>
                <a:bgClr>
                  <a:srgbClr val="FF0000"/>
                </a:bgClr>
              </a:pattFill>
            </c:spPr>
          </c:dPt>
          <c:dPt>
            <c:idx val="5"/>
            <c:bubble3D val="0"/>
            <c:spPr>
              <a:solidFill>
                <a:srgbClr val="FF0000"/>
              </a:solidFill>
            </c:spPr>
          </c:dPt>
          <c:dLbls>
            <c:dLbl>
              <c:idx val="0"/>
              <c:layout>
                <c:manualLayout>
                  <c:x val="-7.6619656917885304E-2"/>
                  <c:y val="0.177040317328755"/>
                </c:manualLayout>
              </c:layout>
              <c:showLegendKey val="0"/>
              <c:showVal val="1"/>
              <c:showCatName val="0"/>
              <c:showSerName val="0"/>
              <c:showPercent val="1"/>
              <c:showBubbleSize val="0"/>
              <c:separator>
</c:separator>
            </c:dLbl>
            <c:dLbl>
              <c:idx val="1"/>
              <c:layout>
                <c:manualLayout>
                  <c:x val="-0.14710784589426301"/>
                  <c:y val="-0.13637132200580199"/>
                </c:manualLayout>
              </c:layout>
              <c:showLegendKey val="0"/>
              <c:showVal val="1"/>
              <c:showCatName val="0"/>
              <c:showSerName val="0"/>
              <c:showPercent val="1"/>
              <c:showBubbleSize val="0"/>
              <c:separator>
</c:separator>
            </c:dLbl>
            <c:dLbl>
              <c:idx val="2"/>
              <c:layout>
                <c:manualLayout>
                  <c:x val="0.101854752530934"/>
                  <c:y val="-0.17812894440826499"/>
                </c:manualLayout>
              </c:layout>
              <c:showLegendKey val="0"/>
              <c:showVal val="1"/>
              <c:showCatName val="0"/>
              <c:showSerName val="0"/>
              <c:showPercent val="1"/>
              <c:showBubbleSize val="0"/>
              <c:separator>
</c:separator>
            </c:dLbl>
            <c:dLbl>
              <c:idx val="3"/>
              <c:layout>
                <c:manualLayout>
                  <c:x val="0.14819262175561401"/>
                  <c:y val="0.12816966275441999"/>
                </c:manualLayout>
              </c:layout>
              <c:showLegendKey val="0"/>
              <c:showVal val="1"/>
              <c:showCatName val="0"/>
              <c:showSerName val="0"/>
              <c:showPercent val="1"/>
              <c:showBubbleSize val="0"/>
              <c:separator>
</c:separator>
            </c:dLbl>
            <c:dLbl>
              <c:idx val="4"/>
              <c:layout>
                <c:manualLayout>
                  <c:x val="-7.1540354330708697E-2"/>
                  <c:y val="3.1949558936711898E-2"/>
                </c:manualLayout>
              </c:layout>
              <c:showLegendKey val="0"/>
              <c:showVal val="1"/>
              <c:showCatName val="0"/>
              <c:showSerName val="0"/>
              <c:showPercent val="1"/>
              <c:showBubbleSize val="0"/>
              <c:separator>
</c:separator>
            </c:dLbl>
            <c:dLbl>
              <c:idx val="5"/>
              <c:layout>
                <c:manualLayout>
                  <c:x val="0.106947834645669"/>
                  <c:y val="1.0540761352199401E-2"/>
                </c:manualLayout>
              </c:layout>
              <c:numFmt formatCode="0.00%" sourceLinked="0"/>
              <c:spPr/>
              <c:txPr>
                <a:bodyPr/>
                <a:lstStyle/>
                <a:p>
                  <a:pPr>
                    <a:defRPr sz="1200" b="1" i="0" baseline="0">
                      <a:latin typeface="Times New Roman"/>
                    </a:defRPr>
                  </a:pPr>
                  <a:endParaRPr lang="en-US"/>
                </a:p>
              </c:txPr>
              <c:showLegendKey val="0"/>
              <c:showVal val="1"/>
              <c:showCatName val="0"/>
              <c:showSerName val="0"/>
              <c:showPercent val="1"/>
              <c:showBubbleSize val="0"/>
              <c:separator>
</c:separator>
            </c:dLbl>
            <c:txPr>
              <a:bodyPr/>
              <a:lstStyle/>
              <a:p>
                <a:pPr>
                  <a:defRPr sz="1200" b="1" i="0" baseline="0">
                    <a:latin typeface="Times New Roman"/>
                  </a:defRPr>
                </a:pPr>
                <a:endParaRPr lang="en-US"/>
              </a:p>
            </c:txPr>
            <c:showLegendKey val="0"/>
            <c:showVal val="1"/>
            <c:showCatName val="0"/>
            <c:showSerName val="0"/>
            <c:showPercent val="1"/>
            <c:showBubbleSize val="0"/>
            <c:separator>
</c:separator>
            <c:showLeaderLines val="1"/>
          </c:dLbls>
          <c:cat>
            <c:strRef>
              <c:f>FormatPricePie!$A$19:$A$23</c:f>
              <c:strCache>
                <c:ptCount val="5"/>
                <c:pt idx="0">
                  <c:v>Under Standard Offer                       (6.3 cents up to 7.6 cents)</c:v>
                </c:pt>
                <c:pt idx="1">
                  <c:v>7.6 cents (CL&amp;P Standard Offer) to 10 cents per kWh</c:v>
                </c:pt>
                <c:pt idx="2">
                  <c:v>10.1 cents to 13 cents per kWh</c:v>
                </c:pt>
                <c:pt idx="3">
                  <c:v>13.1 cents to 16 cents per kWh</c:v>
                </c:pt>
                <c:pt idx="4">
                  <c:v>16.1 cents to 21.75 cents per kWh</c:v>
                </c:pt>
              </c:strCache>
            </c:strRef>
          </c:cat>
          <c:val>
            <c:numRef>
              <c:f>FormatPricePie!$B$19:$B$23</c:f>
              <c:numCache>
                <c:formatCode>_(* #,##0_);_(* \(#,##0\);_(* "-"??_);_(@_)</c:formatCode>
                <c:ptCount val="5"/>
                <c:pt idx="0">
                  <c:v>56518</c:v>
                </c:pt>
                <c:pt idx="1">
                  <c:v>169426</c:v>
                </c:pt>
                <c:pt idx="2">
                  <c:v>99846</c:v>
                </c:pt>
                <c:pt idx="3">
                  <c:v>102131</c:v>
                </c:pt>
                <c:pt idx="4">
                  <c:v>12366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289988751406102"/>
          <c:y val="4.7375427128212702E-2"/>
          <c:w val="0.34433562992125999"/>
          <c:h val="0.90306432922299795"/>
        </c:manualLayout>
      </c:layout>
      <c:overlay val="0"/>
      <c:txPr>
        <a:bodyPr/>
        <a:lstStyle/>
        <a:p>
          <a:pPr>
            <a:defRPr sz="1200">
              <a:latin typeface="Times New Roman"/>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10573118868162899"/>
          <c:y val="9.2697376242603796E-2"/>
          <c:w val="0.53549566999312204"/>
          <c:h val="0.81460524751479202"/>
        </c:manualLayout>
      </c:layout>
      <c:pie3DChart>
        <c:varyColors val="1"/>
        <c:ser>
          <c:idx val="0"/>
          <c:order val="0"/>
          <c:explosion val="7"/>
          <c:dPt>
            <c:idx val="0"/>
            <c:bubble3D val="0"/>
            <c:spPr>
              <a:pattFill prst="dashUpDiag">
                <a:fgClr>
                  <a:schemeClr val="tx1"/>
                </a:fgClr>
                <a:bgClr>
                  <a:srgbClr val="008000"/>
                </a:bgClr>
              </a:pattFill>
            </c:spPr>
          </c:dPt>
          <c:dPt>
            <c:idx val="1"/>
            <c:bubble3D val="0"/>
            <c:spPr>
              <a:pattFill prst="pct5">
                <a:fgClr>
                  <a:schemeClr val="tx1"/>
                </a:fgClr>
                <a:bgClr>
                  <a:srgbClr val="FF0000"/>
                </a:bgClr>
              </a:pattFill>
            </c:spPr>
          </c:dPt>
          <c:dPt>
            <c:idx val="2"/>
            <c:bubble3D val="0"/>
          </c:dPt>
          <c:dLbls>
            <c:dLbl>
              <c:idx val="0"/>
              <c:layout>
                <c:manualLayout>
                  <c:x val="-0.122892893735877"/>
                  <c:y val="-0.25966162766239598"/>
                </c:manualLayout>
              </c:layout>
              <c:dLblPos val="bestFit"/>
              <c:showLegendKey val="0"/>
              <c:showVal val="1"/>
              <c:showCatName val="0"/>
              <c:showSerName val="0"/>
              <c:showPercent val="1"/>
              <c:showBubbleSize val="0"/>
              <c:separator>
</c:separator>
            </c:dLbl>
            <c:dLbl>
              <c:idx val="1"/>
              <c:layout>
                <c:manualLayout>
                  <c:x val="6.7781239911856001E-2"/>
                  <c:y val="0.13220755942092599"/>
                </c:manualLayout>
              </c:layout>
              <c:dLblPos val="bestFit"/>
              <c:showLegendKey val="0"/>
              <c:showVal val="1"/>
              <c:showCatName val="0"/>
              <c:showSerName val="0"/>
              <c:showPercent val="1"/>
              <c:showBubbleSize val="0"/>
              <c:separator>
</c:separator>
            </c:dLbl>
            <c:numFmt formatCode="0%" sourceLinked="0"/>
            <c:txPr>
              <a:bodyPr rot="0" vert="horz"/>
              <a:lstStyle/>
              <a:p>
                <a:pPr>
                  <a:defRPr sz="1200" b="1" i="0">
                    <a:latin typeface="Times New Roman"/>
                  </a:defRPr>
                </a:pPr>
                <a:endParaRPr lang="en-US"/>
              </a:p>
            </c:txPr>
            <c:dLblPos val="bestFit"/>
            <c:showLegendKey val="0"/>
            <c:showVal val="1"/>
            <c:showCatName val="0"/>
            <c:showSerName val="0"/>
            <c:showPercent val="1"/>
            <c:showBubbleSize val="0"/>
            <c:separator>
</c:separator>
            <c:showLeaderLines val="1"/>
          </c:dLbls>
          <c:cat>
            <c:strRef>
              <c:f>graphic!$G$283:$G$284</c:f>
              <c:strCache>
                <c:ptCount val="2"/>
                <c:pt idx="0">
                  <c:v>Customers charged at or above EDC Standard Offer</c:v>
                </c:pt>
                <c:pt idx="1">
                  <c:v>Customers charged at rates under EDC Standard Offer</c:v>
                </c:pt>
              </c:strCache>
            </c:strRef>
          </c:cat>
          <c:val>
            <c:numRef>
              <c:f>graphic!$F$283:$F$284</c:f>
              <c:numCache>
                <c:formatCode>_(* #,##0_);_(* \(#,##0\);_(* "-"??_);_(@_)</c:formatCode>
                <c:ptCount val="2"/>
                <c:pt idx="0">
                  <c:v>383769</c:v>
                </c:pt>
                <c:pt idx="1">
                  <c:v>56518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487248585905405"/>
          <c:y val="0.12530951923692499"/>
          <c:w val="0.24769435906073201"/>
          <c:h val="0.45437515432522102"/>
        </c:manualLayout>
      </c:layout>
      <c:overlay val="0"/>
      <c:txPr>
        <a:bodyPr/>
        <a:lstStyle/>
        <a:p>
          <a:pPr>
            <a:defRPr sz="1200" baseline="0">
              <a:latin typeface="Times New Roman"/>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0"/>
            <c:bubble3D val="0"/>
            <c:spPr>
              <a:pattFill prst="dashDnDiag">
                <a:fgClr>
                  <a:schemeClr val="tx1"/>
                </a:fgClr>
                <a:bgClr>
                  <a:srgbClr val="008000"/>
                </a:bgClr>
              </a:pattFill>
            </c:spPr>
          </c:dPt>
          <c:dPt>
            <c:idx val="1"/>
            <c:bubble3D val="0"/>
            <c:spPr>
              <a:pattFill prst="dotDmnd">
                <a:fgClr>
                  <a:schemeClr val="tx1"/>
                </a:fgClr>
                <a:bgClr>
                  <a:srgbClr val="0000FF"/>
                </a:bgClr>
              </a:pattFill>
            </c:spPr>
          </c:dPt>
          <c:dPt>
            <c:idx val="2"/>
            <c:bubble3D val="0"/>
            <c:spPr>
              <a:pattFill prst="ltDnDiag">
                <a:fgClr>
                  <a:schemeClr val="tx1"/>
                </a:fgClr>
                <a:bgClr>
                  <a:srgbClr val="FFFF00"/>
                </a:bgClr>
              </a:pattFill>
            </c:spPr>
          </c:dPt>
          <c:dPt>
            <c:idx val="3"/>
            <c:bubble3D val="0"/>
            <c:spPr>
              <a:pattFill prst="pct5">
                <a:fgClr>
                  <a:schemeClr val="tx1"/>
                </a:fgClr>
                <a:bgClr>
                  <a:srgbClr val="660066"/>
                </a:bgClr>
              </a:pattFill>
            </c:spPr>
          </c:dPt>
          <c:dPt>
            <c:idx val="4"/>
            <c:bubble3D val="0"/>
            <c:spPr>
              <a:pattFill prst="dashHorz">
                <a:fgClr>
                  <a:schemeClr val="tx1"/>
                </a:fgClr>
                <a:bgClr>
                  <a:schemeClr val="accent6">
                    <a:lumMod val="50000"/>
                  </a:schemeClr>
                </a:bgClr>
              </a:pattFill>
            </c:spPr>
          </c:dPt>
          <c:dPt>
            <c:idx val="5"/>
            <c:bubble3D val="0"/>
            <c:spPr>
              <a:pattFill prst="wdUpDiag">
                <a:fgClr>
                  <a:schemeClr val="tx1"/>
                </a:fgClr>
                <a:bgClr>
                  <a:srgbClr val="FF0000"/>
                </a:bgClr>
              </a:pattFill>
            </c:spPr>
          </c:dPt>
          <c:dLbls>
            <c:dLbl>
              <c:idx val="0"/>
              <c:layout>
                <c:manualLayout>
                  <c:x val="-0.15300983879850599"/>
                  <c:y val="9.8253557121149304E-2"/>
                </c:manualLayout>
              </c:layout>
              <c:showLegendKey val="0"/>
              <c:showVal val="1"/>
              <c:showCatName val="0"/>
              <c:showSerName val="0"/>
              <c:showPercent val="1"/>
              <c:showBubbleSize val="0"/>
              <c:separator>
</c:separator>
            </c:dLbl>
            <c:dLbl>
              <c:idx val="1"/>
              <c:layout>
                <c:manualLayout>
                  <c:x val="-0.10559457005492499"/>
                  <c:y val="-0.165954724409449"/>
                </c:manualLayout>
              </c:layout>
              <c:showLegendKey val="0"/>
              <c:showVal val="1"/>
              <c:showCatName val="0"/>
              <c:showSerName val="0"/>
              <c:showPercent val="1"/>
              <c:showBubbleSize val="0"/>
              <c:separator>
</c:separator>
            </c:dLbl>
            <c:dLbl>
              <c:idx val="2"/>
              <c:layout>
                <c:manualLayout>
                  <c:x val="0.137083488382478"/>
                  <c:y val="-0.146690323249068"/>
                </c:manualLayout>
              </c:layout>
              <c:showLegendKey val="0"/>
              <c:showVal val="1"/>
              <c:showCatName val="0"/>
              <c:showSerName val="0"/>
              <c:showPercent val="1"/>
              <c:showBubbleSize val="0"/>
              <c:separator>
</c:separator>
            </c:dLbl>
            <c:dLbl>
              <c:idx val="3"/>
              <c:layout>
                <c:manualLayout>
                  <c:x val="0.137996219281664"/>
                  <c:y val="7.5569657411244606E-2"/>
                </c:manualLayout>
              </c:layout>
              <c:showLegendKey val="0"/>
              <c:showVal val="1"/>
              <c:showCatName val="0"/>
              <c:showSerName val="0"/>
              <c:showPercent val="1"/>
              <c:showBubbleSize val="0"/>
              <c:separator>
</c:separator>
            </c:dLbl>
            <c:dLbl>
              <c:idx val="4"/>
              <c:layout>
                <c:manualLayout>
                  <c:x val="-4.5352143482064698E-3"/>
                  <c:y val="1.14940754586128E-2"/>
                </c:manualLayout>
              </c:layout>
              <c:showLegendKey val="0"/>
              <c:showVal val="1"/>
              <c:showCatName val="0"/>
              <c:showSerName val="0"/>
              <c:showPercent val="1"/>
              <c:showBubbleSize val="0"/>
              <c:separator>
</c:separator>
            </c:dLbl>
            <c:dLbl>
              <c:idx val="5"/>
              <c:layout>
                <c:manualLayout>
                  <c:x val="6.5860559963085902E-2"/>
                  <c:y val="-4.6826219091034701E-3"/>
                </c:manualLayout>
              </c:layout>
              <c:showLegendKey val="0"/>
              <c:showVal val="1"/>
              <c:showCatName val="0"/>
              <c:showSerName val="0"/>
              <c:showPercent val="1"/>
              <c:showBubbleSize val="0"/>
              <c:separator>
</c:separator>
            </c:dLbl>
            <c:txPr>
              <a:bodyPr/>
              <a:lstStyle/>
              <a:p>
                <a:pPr>
                  <a:defRPr sz="1200" b="1" i="0" baseline="0">
                    <a:latin typeface="Times New Roman"/>
                  </a:defRPr>
                </a:pPr>
                <a:endParaRPr lang="en-US"/>
              </a:p>
            </c:txPr>
            <c:showLegendKey val="0"/>
            <c:showVal val="1"/>
            <c:showCatName val="0"/>
            <c:showSerName val="0"/>
            <c:showPercent val="1"/>
            <c:showBubbleSize val="0"/>
            <c:separator>
</c:separator>
            <c:showLeaderLines val="1"/>
          </c:dLbls>
          <c:cat>
            <c:strRef>
              <c:f>'price portions'!$B$602:$B$607</c:f>
              <c:strCache>
                <c:ptCount val="6"/>
                <c:pt idx="0">
                  <c:v>Under Standard Offer                             (6.1 cents up to 8.24 cents)</c:v>
                </c:pt>
                <c:pt idx="1">
                  <c:v>8.24 cents (UI Standard Offer) to 10 cents per kWh</c:v>
                </c:pt>
                <c:pt idx="2">
                  <c:v>10.1 cents to 13 cents per kWh</c:v>
                </c:pt>
                <c:pt idx="3">
                  <c:v>13.1 cents to 16 cents per kWh</c:v>
                </c:pt>
                <c:pt idx="4">
                  <c:v>16.1 cents to 19 cents per kWh</c:v>
                </c:pt>
                <c:pt idx="5">
                  <c:v>19.1 cents per kWh and above</c:v>
                </c:pt>
              </c:strCache>
            </c:strRef>
          </c:cat>
          <c:val>
            <c:numRef>
              <c:f>'price portions'!$C$602:$C$607</c:f>
              <c:numCache>
                <c:formatCode>_(* #,##0_);_(* \(#,##0\);_(* "-"??_);_(@_)</c:formatCode>
                <c:ptCount val="6"/>
                <c:pt idx="0">
                  <c:v>41412</c:v>
                </c:pt>
                <c:pt idx="1">
                  <c:v>32172</c:v>
                </c:pt>
                <c:pt idx="2">
                  <c:v>22571</c:v>
                </c:pt>
                <c:pt idx="3">
                  <c:v>29799</c:v>
                </c:pt>
                <c:pt idx="4">
                  <c:v>7268</c:v>
                </c:pt>
                <c:pt idx="5">
                  <c:v>3588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091302859354295"/>
          <c:y val="0.20943535018649001"/>
          <c:w val="0.32396409806052101"/>
          <c:h val="0.59209421190772205"/>
        </c:manualLayout>
      </c:layout>
      <c:overlay val="0"/>
      <c:txPr>
        <a:bodyPr/>
        <a:lstStyle/>
        <a:p>
          <a:pPr rtl="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4.6666666666666697E-2"/>
          <c:y val="3.5264483627204003E-2"/>
          <c:w val="0.60389308836395394"/>
          <c:h val="0.93450881612090697"/>
        </c:manualLayout>
      </c:layout>
      <c:pieChart>
        <c:varyColors val="1"/>
        <c:ser>
          <c:idx val="0"/>
          <c:order val="0"/>
          <c:dPt>
            <c:idx val="0"/>
            <c:bubble3D val="0"/>
            <c:spPr>
              <a:pattFill prst="dashUpDiag">
                <a:fgClr>
                  <a:schemeClr val="tx1"/>
                </a:fgClr>
                <a:bgClr>
                  <a:srgbClr val="FF0000"/>
                </a:bgClr>
              </a:pattFill>
            </c:spPr>
          </c:dPt>
          <c:dPt>
            <c:idx val="1"/>
            <c:bubble3D val="0"/>
            <c:explosion val="5"/>
            <c:spPr>
              <a:pattFill prst="pct5">
                <a:fgClr>
                  <a:prstClr val="black"/>
                </a:fgClr>
                <a:bgClr>
                  <a:srgbClr val="008000"/>
                </a:bgClr>
              </a:pattFill>
            </c:spPr>
          </c:dPt>
          <c:dLbls>
            <c:dLbl>
              <c:idx val="0"/>
              <c:layout>
                <c:manualLayout>
                  <c:x val="-0.17669641294838101"/>
                  <c:y val="-0.181451238620361"/>
                </c:manualLayout>
              </c:layout>
              <c:showLegendKey val="0"/>
              <c:showVal val="1"/>
              <c:showCatName val="0"/>
              <c:showSerName val="0"/>
              <c:showPercent val="1"/>
              <c:showBubbleSize val="0"/>
              <c:separator>
</c:separator>
            </c:dLbl>
            <c:dLbl>
              <c:idx val="1"/>
              <c:layout>
                <c:manualLayout>
                  <c:x val="0.146666666666667"/>
                  <c:y val="0.102727344850156"/>
                </c:manualLayout>
              </c:layout>
              <c:showLegendKey val="0"/>
              <c:showVal val="1"/>
              <c:showCatName val="0"/>
              <c:showSerName val="0"/>
              <c:showPercent val="1"/>
              <c:showBubbleSize val="0"/>
              <c:separator>
</c:separator>
            </c:dLbl>
            <c:txPr>
              <a:bodyPr/>
              <a:lstStyle/>
              <a:p>
                <a:pPr>
                  <a:defRPr sz="1400" b="1" i="0">
                    <a:latin typeface="Times New Roman"/>
                  </a:defRPr>
                </a:pPr>
                <a:endParaRPr lang="en-US"/>
              </a:p>
            </c:txPr>
            <c:showLegendKey val="0"/>
            <c:showVal val="1"/>
            <c:showCatName val="0"/>
            <c:showSerName val="0"/>
            <c:showPercent val="1"/>
            <c:showBubbleSize val="0"/>
            <c:separator>
</c:separator>
            <c:showLeaderLines val="1"/>
          </c:dLbls>
          <c:cat>
            <c:strRef>
              <c:f>'price portions'!$E$278:$E$279</c:f>
              <c:strCache>
                <c:ptCount val="2"/>
                <c:pt idx="0">
                  <c:v>Customers charged rate above EDC Standard Offer</c:v>
                </c:pt>
                <c:pt idx="1">
                  <c:v>Customers charged rate below EDC Standard Offer</c:v>
                </c:pt>
              </c:strCache>
            </c:strRef>
          </c:cat>
          <c:val>
            <c:numRef>
              <c:f>'price portions'!$H$278:$H$279</c:f>
              <c:numCache>
                <c:formatCode>_(* #,##0_);_(* \(#,##0\);_(* "-"??_);_(@_)</c:formatCode>
                <c:ptCount val="2"/>
                <c:pt idx="0">
                  <c:v>95398</c:v>
                </c:pt>
                <c:pt idx="1">
                  <c:v>41412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833753280839903"/>
          <c:y val="0.25273091493286298"/>
          <c:w val="0.28721802274715702"/>
          <c:h val="0.42400920287986699"/>
        </c:manualLayout>
      </c:layout>
      <c:overlay val="0"/>
      <c:txPr>
        <a:bodyPr/>
        <a:lstStyle/>
        <a:p>
          <a:pPr rtl="0">
            <a:defRPr sz="1200">
              <a:latin typeface="Times New Roman"/>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7861-4B4D-4EE5-A870-C0003C3B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17436</Words>
  <Characters>99389</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Microsoft</Company>
  <LinksUpToDate>false</LinksUpToDate>
  <CharactersWithSpaces>116592</CharactersWithSpaces>
  <SharedDoc>false</SharedDoc>
  <HLinks>
    <vt:vector size="156" baseType="variant">
      <vt:variant>
        <vt:i4>7602212</vt:i4>
      </vt:variant>
      <vt:variant>
        <vt:i4>123</vt:i4>
      </vt:variant>
      <vt:variant>
        <vt:i4>0</vt:i4>
      </vt:variant>
      <vt:variant>
        <vt:i4>5</vt:i4>
      </vt:variant>
      <vt:variant>
        <vt:lpwstr>http://www.ct.gov/occ/site/default.asp</vt:lpwstr>
      </vt:variant>
      <vt:variant>
        <vt:lpwstr/>
      </vt:variant>
      <vt:variant>
        <vt:i4>1638405</vt:i4>
      </vt:variant>
      <vt:variant>
        <vt:i4>116</vt:i4>
      </vt:variant>
      <vt:variant>
        <vt:i4>0</vt:i4>
      </vt:variant>
      <vt:variant>
        <vt:i4>5</vt:i4>
      </vt:variant>
      <vt:variant>
        <vt:lpwstr/>
      </vt:variant>
      <vt:variant>
        <vt:lpwstr>_Toc380839075</vt:lpwstr>
      </vt:variant>
      <vt:variant>
        <vt:i4>1638404</vt:i4>
      </vt:variant>
      <vt:variant>
        <vt:i4>110</vt:i4>
      </vt:variant>
      <vt:variant>
        <vt:i4>0</vt:i4>
      </vt:variant>
      <vt:variant>
        <vt:i4>5</vt:i4>
      </vt:variant>
      <vt:variant>
        <vt:lpwstr/>
      </vt:variant>
      <vt:variant>
        <vt:lpwstr>_Toc380839074</vt:lpwstr>
      </vt:variant>
      <vt:variant>
        <vt:i4>1638403</vt:i4>
      </vt:variant>
      <vt:variant>
        <vt:i4>104</vt:i4>
      </vt:variant>
      <vt:variant>
        <vt:i4>0</vt:i4>
      </vt:variant>
      <vt:variant>
        <vt:i4>5</vt:i4>
      </vt:variant>
      <vt:variant>
        <vt:lpwstr/>
      </vt:variant>
      <vt:variant>
        <vt:lpwstr>_Toc380839073</vt:lpwstr>
      </vt:variant>
      <vt:variant>
        <vt:i4>1638402</vt:i4>
      </vt:variant>
      <vt:variant>
        <vt:i4>98</vt:i4>
      </vt:variant>
      <vt:variant>
        <vt:i4>0</vt:i4>
      </vt:variant>
      <vt:variant>
        <vt:i4>5</vt:i4>
      </vt:variant>
      <vt:variant>
        <vt:lpwstr/>
      </vt:variant>
      <vt:variant>
        <vt:lpwstr>_Toc380839072</vt:lpwstr>
      </vt:variant>
      <vt:variant>
        <vt:i4>1638401</vt:i4>
      </vt:variant>
      <vt:variant>
        <vt:i4>92</vt:i4>
      </vt:variant>
      <vt:variant>
        <vt:i4>0</vt:i4>
      </vt:variant>
      <vt:variant>
        <vt:i4>5</vt:i4>
      </vt:variant>
      <vt:variant>
        <vt:lpwstr/>
      </vt:variant>
      <vt:variant>
        <vt:lpwstr>_Toc380839071</vt:lpwstr>
      </vt:variant>
      <vt:variant>
        <vt:i4>1638400</vt:i4>
      </vt:variant>
      <vt:variant>
        <vt:i4>86</vt:i4>
      </vt:variant>
      <vt:variant>
        <vt:i4>0</vt:i4>
      </vt:variant>
      <vt:variant>
        <vt:i4>5</vt:i4>
      </vt:variant>
      <vt:variant>
        <vt:lpwstr/>
      </vt:variant>
      <vt:variant>
        <vt:lpwstr>_Toc380839070</vt:lpwstr>
      </vt:variant>
      <vt:variant>
        <vt:i4>1572873</vt:i4>
      </vt:variant>
      <vt:variant>
        <vt:i4>80</vt:i4>
      </vt:variant>
      <vt:variant>
        <vt:i4>0</vt:i4>
      </vt:variant>
      <vt:variant>
        <vt:i4>5</vt:i4>
      </vt:variant>
      <vt:variant>
        <vt:lpwstr/>
      </vt:variant>
      <vt:variant>
        <vt:lpwstr>_Toc380839069</vt:lpwstr>
      </vt:variant>
      <vt:variant>
        <vt:i4>1572872</vt:i4>
      </vt:variant>
      <vt:variant>
        <vt:i4>74</vt:i4>
      </vt:variant>
      <vt:variant>
        <vt:i4>0</vt:i4>
      </vt:variant>
      <vt:variant>
        <vt:i4>5</vt:i4>
      </vt:variant>
      <vt:variant>
        <vt:lpwstr/>
      </vt:variant>
      <vt:variant>
        <vt:lpwstr>_Toc380839068</vt:lpwstr>
      </vt:variant>
      <vt:variant>
        <vt:i4>1572871</vt:i4>
      </vt:variant>
      <vt:variant>
        <vt:i4>68</vt:i4>
      </vt:variant>
      <vt:variant>
        <vt:i4>0</vt:i4>
      </vt:variant>
      <vt:variant>
        <vt:i4>5</vt:i4>
      </vt:variant>
      <vt:variant>
        <vt:lpwstr/>
      </vt:variant>
      <vt:variant>
        <vt:lpwstr>_Toc380839067</vt:lpwstr>
      </vt:variant>
      <vt:variant>
        <vt:i4>1572870</vt:i4>
      </vt:variant>
      <vt:variant>
        <vt:i4>62</vt:i4>
      </vt:variant>
      <vt:variant>
        <vt:i4>0</vt:i4>
      </vt:variant>
      <vt:variant>
        <vt:i4>5</vt:i4>
      </vt:variant>
      <vt:variant>
        <vt:lpwstr/>
      </vt:variant>
      <vt:variant>
        <vt:lpwstr>_Toc380839066</vt:lpwstr>
      </vt:variant>
      <vt:variant>
        <vt:i4>1572869</vt:i4>
      </vt:variant>
      <vt:variant>
        <vt:i4>56</vt:i4>
      </vt:variant>
      <vt:variant>
        <vt:i4>0</vt:i4>
      </vt:variant>
      <vt:variant>
        <vt:i4>5</vt:i4>
      </vt:variant>
      <vt:variant>
        <vt:lpwstr/>
      </vt:variant>
      <vt:variant>
        <vt:lpwstr>_Toc380839065</vt:lpwstr>
      </vt:variant>
      <vt:variant>
        <vt:i4>1572868</vt:i4>
      </vt:variant>
      <vt:variant>
        <vt:i4>50</vt:i4>
      </vt:variant>
      <vt:variant>
        <vt:i4>0</vt:i4>
      </vt:variant>
      <vt:variant>
        <vt:i4>5</vt:i4>
      </vt:variant>
      <vt:variant>
        <vt:lpwstr/>
      </vt:variant>
      <vt:variant>
        <vt:lpwstr>_Toc380839064</vt:lpwstr>
      </vt:variant>
      <vt:variant>
        <vt:i4>1572867</vt:i4>
      </vt:variant>
      <vt:variant>
        <vt:i4>44</vt:i4>
      </vt:variant>
      <vt:variant>
        <vt:i4>0</vt:i4>
      </vt:variant>
      <vt:variant>
        <vt:i4>5</vt:i4>
      </vt:variant>
      <vt:variant>
        <vt:lpwstr/>
      </vt:variant>
      <vt:variant>
        <vt:lpwstr>_Toc380839063</vt:lpwstr>
      </vt:variant>
      <vt:variant>
        <vt:i4>1572866</vt:i4>
      </vt:variant>
      <vt:variant>
        <vt:i4>38</vt:i4>
      </vt:variant>
      <vt:variant>
        <vt:i4>0</vt:i4>
      </vt:variant>
      <vt:variant>
        <vt:i4>5</vt:i4>
      </vt:variant>
      <vt:variant>
        <vt:lpwstr/>
      </vt:variant>
      <vt:variant>
        <vt:lpwstr>_Toc380839062</vt:lpwstr>
      </vt:variant>
      <vt:variant>
        <vt:i4>1572865</vt:i4>
      </vt:variant>
      <vt:variant>
        <vt:i4>32</vt:i4>
      </vt:variant>
      <vt:variant>
        <vt:i4>0</vt:i4>
      </vt:variant>
      <vt:variant>
        <vt:i4>5</vt:i4>
      </vt:variant>
      <vt:variant>
        <vt:lpwstr/>
      </vt:variant>
      <vt:variant>
        <vt:lpwstr>_Toc380839061</vt:lpwstr>
      </vt:variant>
      <vt:variant>
        <vt:i4>1572864</vt:i4>
      </vt:variant>
      <vt:variant>
        <vt:i4>26</vt:i4>
      </vt:variant>
      <vt:variant>
        <vt:i4>0</vt:i4>
      </vt:variant>
      <vt:variant>
        <vt:i4>5</vt:i4>
      </vt:variant>
      <vt:variant>
        <vt:lpwstr/>
      </vt:variant>
      <vt:variant>
        <vt:lpwstr>_Toc380839060</vt:lpwstr>
      </vt:variant>
      <vt:variant>
        <vt:i4>1769481</vt:i4>
      </vt:variant>
      <vt:variant>
        <vt:i4>20</vt:i4>
      </vt:variant>
      <vt:variant>
        <vt:i4>0</vt:i4>
      </vt:variant>
      <vt:variant>
        <vt:i4>5</vt:i4>
      </vt:variant>
      <vt:variant>
        <vt:lpwstr/>
      </vt:variant>
      <vt:variant>
        <vt:lpwstr>_Toc380839059</vt:lpwstr>
      </vt:variant>
      <vt:variant>
        <vt:i4>1769480</vt:i4>
      </vt:variant>
      <vt:variant>
        <vt:i4>14</vt:i4>
      </vt:variant>
      <vt:variant>
        <vt:i4>0</vt:i4>
      </vt:variant>
      <vt:variant>
        <vt:i4>5</vt:i4>
      </vt:variant>
      <vt:variant>
        <vt:lpwstr/>
      </vt:variant>
      <vt:variant>
        <vt:lpwstr>_Toc380839058</vt:lpwstr>
      </vt:variant>
      <vt:variant>
        <vt:i4>1769479</vt:i4>
      </vt:variant>
      <vt:variant>
        <vt:i4>8</vt:i4>
      </vt:variant>
      <vt:variant>
        <vt:i4>0</vt:i4>
      </vt:variant>
      <vt:variant>
        <vt:i4>5</vt:i4>
      </vt:variant>
      <vt:variant>
        <vt:lpwstr/>
      </vt:variant>
      <vt:variant>
        <vt:lpwstr>_Toc380839057</vt:lpwstr>
      </vt:variant>
      <vt:variant>
        <vt:i4>1769478</vt:i4>
      </vt:variant>
      <vt:variant>
        <vt:i4>2</vt:i4>
      </vt:variant>
      <vt:variant>
        <vt:i4>0</vt:i4>
      </vt:variant>
      <vt:variant>
        <vt:i4>5</vt:i4>
      </vt:variant>
      <vt:variant>
        <vt:lpwstr/>
      </vt:variant>
      <vt:variant>
        <vt:lpwstr>_Toc380839056</vt:lpwstr>
      </vt:variant>
      <vt:variant>
        <vt:i4>4325423</vt:i4>
      </vt:variant>
      <vt:variant>
        <vt:i4>15</vt:i4>
      </vt:variant>
      <vt:variant>
        <vt:i4>0</vt:i4>
      </vt:variant>
      <vt:variant>
        <vt:i4>5</vt:i4>
      </vt:variant>
      <vt:variant>
        <vt:lpwstr>http://www.energychoicematters.com/stories/20120718a.html</vt:lpwstr>
      </vt:variant>
      <vt:variant>
        <vt:lpwstr/>
      </vt:variant>
      <vt:variant>
        <vt:i4>4718655</vt:i4>
      </vt:variant>
      <vt:variant>
        <vt:i4>12</vt:i4>
      </vt:variant>
      <vt:variant>
        <vt:i4>0</vt:i4>
      </vt:variant>
      <vt:variant>
        <vt:i4>5</vt:i4>
      </vt:variant>
      <vt:variant>
        <vt:lpwstr>http://ctenergyinfo.com/compare-energy-suppliers/compare-supplier-options</vt:lpwstr>
      </vt:variant>
      <vt:variant>
        <vt:lpwstr/>
      </vt:variant>
      <vt:variant>
        <vt:i4>7602271</vt:i4>
      </vt:variant>
      <vt:variant>
        <vt:i4>9</vt:i4>
      </vt:variant>
      <vt:variant>
        <vt:i4>0</vt:i4>
      </vt:variant>
      <vt:variant>
        <vt:i4>5</vt:i4>
      </vt:variant>
      <vt:variant>
        <vt:lpwstr>http://www.ct.gov/pura/cwp/view.asp?a=3352&amp;q=405212&amp;puraNav=%7C</vt:lpwstr>
      </vt:variant>
      <vt:variant>
        <vt:lpwstr/>
      </vt:variant>
      <vt:variant>
        <vt:i4>2621447</vt:i4>
      </vt:variant>
      <vt:variant>
        <vt:i4>6</vt:i4>
      </vt:variant>
      <vt:variant>
        <vt:i4>0</vt:i4>
      </vt:variant>
      <vt:variant>
        <vt:i4>5</vt:i4>
      </vt:variant>
      <vt:variant>
        <vt:lpwstr>http://www.ct.gov/pura/cwp/view.asp?a=3352&amp;q=404054</vt:lpwstr>
      </vt:variant>
      <vt:variant>
        <vt:lpwstr/>
      </vt:variant>
      <vt:variant>
        <vt:i4>6357089</vt:i4>
      </vt:variant>
      <vt:variant>
        <vt:i4>3</vt:i4>
      </vt:variant>
      <vt:variant>
        <vt:i4>0</vt:i4>
      </vt:variant>
      <vt:variant>
        <vt:i4>5</vt:i4>
      </vt:variant>
      <vt:variant>
        <vt:lpwstr>http://www.ct.gov/ctportal/cwp/view.asp?a=843&amp;q=246434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Susan Baldwin</dc:creator>
  <cp:lastModifiedBy>Melody Mendez</cp:lastModifiedBy>
  <cp:revision>4</cp:revision>
  <cp:lastPrinted>2014-03-10T14:54:00Z</cp:lastPrinted>
  <dcterms:created xsi:type="dcterms:W3CDTF">2014-03-10T15:00:00Z</dcterms:created>
  <dcterms:modified xsi:type="dcterms:W3CDTF">2014-03-10T15:04:00Z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