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8539" w14:textId="16E345FC" w:rsidR="00520586" w:rsidRDefault="00520586" w:rsidP="00341D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0F55">
        <w:rPr>
          <w:rFonts w:ascii="Arial" w:hAnsi="Arial" w:cs="Arial"/>
          <w:b/>
          <w:sz w:val="24"/>
          <w:szCs w:val="24"/>
        </w:rPr>
        <w:t>STATE OF ILLINOIS</w:t>
      </w:r>
      <w:bookmarkStart w:id="0" w:name="_GoBack"/>
      <w:bookmarkEnd w:id="0"/>
    </w:p>
    <w:p w14:paraId="280090DE" w14:textId="77777777" w:rsidR="00341D3C" w:rsidRPr="00750F55" w:rsidRDefault="00341D3C" w:rsidP="00341D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C9D2D8" w14:textId="24A75442" w:rsidR="00520586" w:rsidRDefault="00520586" w:rsidP="00341D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0F55">
        <w:rPr>
          <w:rFonts w:ascii="Arial" w:hAnsi="Arial" w:cs="Arial"/>
          <w:b/>
          <w:sz w:val="24"/>
          <w:szCs w:val="24"/>
        </w:rPr>
        <w:t>ILLINOIS COMMERCE COMMISSION</w:t>
      </w:r>
    </w:p>
    <w:p w14:paraId="42583A53" w14:textId="38C25098" w:rsidR="00341D3C" w:rsidRPr="00341D3C" w:rsidRDefault="00341D3C" w:rsidP="00341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9A96B0" w14:textId="72938BA4" w:rsidR="00341D3C" w:rsidRPr="00341D3C" w:rsidRDefault="00341D3C" w:rsidP="00341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B22E9B" w14:textId="4517ECED" w:rsidR="00341D3C" w:rsidRPr="00341D3C" w:rsidRDefault="00341D3C" w:rsidP="00341D3C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341D3C">
        <w:rPr>
          <w:rFonts w:ascii="Arial" w:hAnsi="Arial" w:cs="Arial"/>
          <w:b/>
          <w:sz w:val="24"/>
          <w:szCs w:val="24"/>
          <w:lang w:val="en"/>
        </w:rPr>
        <w:t>Illinois-American Water Company</w:t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  <w:t>:</w:t>
      </w:r>
    </w:p>
    <w:p w14:paraId="21610B24" w14:textId="20231D5A" w:rsidR="00341D3C" w:rsidRPr="00341D3C" w:rsidRDefault="00341D3C" w:rsidP="00341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14:paraId="1C749819" w14:textId="77777777" w:rsidR="00341D3C" w:rsidRDefault="00341D3C" w:rsidP="00341D3C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341D3C">
        <w:rPr>
          <w:rFonts w:ascii="Arial" w:hAnsi="Arial" w:cs="Arial"/>
          <w:b/>
          <w:sz w:val="24"/>
          <w:szCs w:val="24"/>
          <w:lang w:val="en"/>
        </w:rPr>
        <w:t>Application for the Issuance of a Certificate</w:t>
      </w:r>
      <w:r>
        <w:rPr>
          <w:rFonts w:ascii="Arial" w:hAnsi="Arial" w:cs="Arial"/>
          <w:b/>
          <w:sz w:val="24"/>
          <w:szCs w:val="24"/>
          <w:lang w:val="en"/>
        </w:rPr>
        <w:tab/>
        <w:t>:</w:t>
      </w:r>
    </w:p>
    <w:p w14:paraId="2ECEF2CA" w14:textId="77777777" w:rsidR="00341D3C" w:rsidRDefault="00341D3C" w:rsidP="00341D3C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341D3C">
        <w:rPr>
          <w:rFonts w:ascii="Arial" w:hAnsi="Arial" w:cs="Arial"/>
          <w:b/>
          <w:sz w:val="24"/>
          <w:szCs w:val="24"/>
          <w:lang w:val="en"/>
        </w:rPr>
        <w:t>of Public Convenience and Necessity to</w:t>
      </w:r>
      <w:r>
        <w:rPr>
          <w:rFonts w:ascii="Arial" w:hAnsi="Arial" w:cs="Arial"/>
          <w:b/>
          <w:sz w:val="24"/>
          <w:szCs w:val="24"/>
          <w:lang w:val="en"/>
        </w:rPr>
        <w:tab/>
        <w:t>:</w:t>
      </w:r>
    </w:p>
    <w:p w14:paraId="0748E499" w14:textId="225BE77E" w:rsidR="00341D3C" w:rsidRDefault="00341D3C" w:rsidP="00341D3C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341D3C">
        <w:rPr>
          <w:rFonts w:ascii="Arial" w:hAnsi="Arial" w:cs="Arial"/>
          <w:b/>
          <w:sz w:val="24"/>
          <w:szCs w:val="24"/>
          <w:lang w:val="en"/>
        </w:rPr>
        <w:t>Provide Water Service to Areas in</w:t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  <w:t>:</w:t>
      </w:r>
      <w:r>
        <w:rPr>
          <w:rFonts w:ascii="Arial" w:hAnsi="Arial" w:cs="Arial"/>
          <w:b/>
          <w:sz w:val="24"/>
          <w:szCs w:val="24"/>
          <w:lang w:val="en"/>
        </w:rPr>
        <w:tab/>
        <w:t>19-0653</w:t>
      </w:r>
    </w:p>
    <w:p w14:paraId="1547F52A" w14:textId="77777777" w:rsidR="00341D3C" w:rsidRDefault="00341D3C" w:rsidP="00341D3C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341D3C">
        <w:rPr>
          <w:rFonts w:ascii="Arial" w:hAnsi="Arial" w:cs="Arial"/>
          <w:b/>
          <w:sz w:val="24"/>
          <w:szCs w:val="24"/>
          <w:lang w:val="en"/>
        </w:rPr>
        <w:t>Champaign County, Illinois, and for the</w:t>
      </w:r>
      <w:r>
        <w:rPr>
          <w:rFonts w:ascii="Arial" w:hAnsi="Arial" w:cs="Arial"/>
          <w:b/>
          <w:sz w:val="24"/>
          <w:szCs w:val="24"/>
          <w:lang w:val="en"/>
        </w:rPr>
        <w:tab/>
        <w:t>:</w:t>
      </w:r>
    </w:p>
    <w:p w14:paraId="41F2E06E" w14:textId="77777777" w:rsidR="00341D3C" w:rsidRDefault="00341D3C" w:rsidP="00341D3C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341D3C">
        <w:rPr>
          <w:rFonts w:ascii="Arial" w:hAnsi="Arial" w:cs="Arial"/>
          <w:b/>
          <w:sz w:val="24"/>
          <w:szCs w:val="24"/>
          <w:lang w:val="en"/>
        </w:rPr>
        <w:t>Approval of the Purchase of Certain Assets</w:t>
      </w:r>
      <w:r>
        <w:rPr>
          <w:rFonts w:ascii="Arial" w:hAnsi="Arial" w:cs="Arial"/>
          <w:b/>
          <w:sz w:val="24"/>
          <w:szCs w:val="24"/>
          <w:lang w:val="en"/>
        </w:rPr>
        <w:tab/>
        <w:t>:</w:t>
      </w:r>
    </w:p>
    <w:p w14:paraId="145D2CCD" w14:textId="77777777" w:rsidR="00341D3C" w:rsidRDefault="00341D3C" w:rsidP="00341D3C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341D3C">
        <w:rPr>
          <w:rFonts w:ascii="Arial" w:hAnsi="Arial" w:cs="Arial"/>
          <w:b/>
          <w:sz w:val="24"/>
          <w:szCs w:val="24"/>
          <w:lang w:val="en"/>
        </w:rPr>
        <w:t>of the Village of Sidney, Illinois, In</w:t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  <w:t>:</w:t>
      </w:r>
    </w:p>
    <w:p w14:paraId="42F06AE0" w14:textId="77777777" w:rsidR="00341D3C" w:rsidRDefault="00341D3C" w:rsidP="00341D3C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341D3C">
        <w:rPr>
          <w:rFonts w:ascii="Arial" w:hAnsi="Arial" w:cs="Arial"/>
          <w:b/>
          <w:sz w:val="24"/>
          <w:szCs w:val="24"/>
          <w:lang w:val="en"/>
        </w:rPr>
        <w:t>Accordance with Section 8-406 of the</w:t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  <w:t>:</w:t>
      </w:r>
    </w:p>
    <w:p w14:paraId="3116A2EE" w14:textId="3546C3F6" w:rsidR="00341D3C" w:rsidRPr="00341D3C" w:rsidRDefault="00341D3C" w:rsidP="00341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1D3C">
        <w:rPr>
          <w:rFonts w:ascii="Arial" w:hAnsi="Arial" w:cs="Arial"/>
          <w:b/>
          <w:sz w:val="24"/>
          <w:szCs w:val="24"/>
          <w:lang w:val="en"/>
        </w:rPr>
        <w:t>Illinois Public Utilities Act.</w:t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  <w:t>:</w:t>
      </w:r>
    </w:p>
    <w:p w14:paraId="4B599C8B" w14:textId="47D76713" w:rsidR="00341D3C" w:rsidRPr="00341D3C" w:rsidRDefault="00341D3C" w:rsidP="00341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9A10EE" w14:textId="77777777" w:rsidR="00341D3C" w:rsidRDefault="00341D3C" w:rsidP="00341D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0CB56" w14:textId="3ACC89EA" w:rsidR="00E14B37" w:rsidRDefault="00E14B37" w:rsidP="0034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63758">
        <w:rPr>
          <w:rFonts w:ascii="Arial" w:hAnsi="Arial" w:cs="Arial"/>
          <w:b/>
          <w:color w:val="000000"/>
          <w:sz w:val="24"/>
          <w:szCs w:val="24"/>
          <w:u w:val="single"/>
        </w:rPr>
        <w:t>INTERIM ORDER</w:t>
      </w:r>
    </w:p>
    <w:p w14:paraId="53D3B83D" w14:textId="77777777" w:rsidR="00341D3C" w:rsidRPr="00A63758" w:rsidRDefault="00341D3C" w:rsidP="0034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3A59328" w14:textId="77777777" w:rsidR="008D7E98" w:rsidRPr="00750F55" w:rsidRDefault="008D7E98" w:rsidP="00341D3C">
      <w:pPr>
        <w:widowControl w:val="0"/>
        <w:spacing w:after="0" w:line="240" w:lineRule="auto"/>
        <w:rPr>
          <w:rFonts w:ascii="Arial" w:eastAsia="Arial" w:hAnsi="Arial"/>
          <w:sz w:val="24"/>
          <w:szCs w:val="24"/>
        </w:rPr>
      </w:pPr>
      <w:bookmarkStart w:id="1" w:name="co_anchor_I9d234eb8feb711ddb055de4196f00"/>
      <w:bookmarkEnd w:id="1"/>
      <w:r w:rsidRPr="00750F55">
        <w:rPr>
          <w:rFonts w:ascii="Arial" w:eastAsia="Arial" w:hAnsi="Arial"/>
          <w:sz w:val="24"/>
          <w:szCs w:val="24"/>
        </w:rPr>
        <w:t>By the Commission:</w:t>
      </w:r>
    </w:p>
    <w:p w14:paraId="68C3C08E" w14:textId="77777777" w:rsidR="00347641" w:rsidRPr="00347641" w:rsidRDefault="00347641" w:rsidP="00341D3C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0" w:right="115" w:firstLine="0"/>
        <w:jc w:val="both"/>
        <w:rPr>
          <w:rFonts w:ascii="Arial" w:eastAsia="Arial" w:hAnsi="Arial"/>
          <w:b/>
          <w:sz w:val="24"/>
          <w:szCs w:val="24"/>
        </w:rPr>
      </w:pPr>
      <w:r w:rsidRPr="00347641">
        <w:rPr>
          <w:rFonts w:ascii="Arial" w:eastAsia="Arial" w:hAnsi="Arial"/>
          <w:b/>
          <w:sz w:val="24"/>
          <w:szCs w:val="24"/>
        </w:rPr>
        <w:t>INTRODUCTION AND PROCEDURAL HISTORY</w:t>
      </w:r>
    </w:p>
    <w:p w14:paraId="719E96FF" w14:textId="1D00A6D3" w:rsidR="00347641" w:rsidRPr="007E4B7C" w:rsidRDefault="00347641" w:rsidP="00341D3C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47641">
        <w:rPr>
          <w:rFonts w:ascii="Arial" w:eastAsia="Arial" w:hAnsi="Arial"/>
          <w:sz w:val="24"/>
          <w:szCs w:val="24"/>
        </w:rPr>
        <w:t xml:space="preserve">On </w:t>
      </w:r>
      <w:r w:rsidR="0066280B">
        <w:rPr>
          <w:rFonts w:ascii="Arial" w:eastAsia="Arial" w:hAnsi="Arial"/>
          <w:sz w:val="24"/>
          <w:szCs w:val="24"/>
        </w:rPr>
        <w:t>June 6, 2019</w:t>
      </w:r>
      <w:r w:rsidRPr="00347641">
        <w:rPr>
          <w:rFonts w:ascii="Arial" w:eastAsia="Arial" w:hAnsi="Arial"/>
          <w:sz w:val="24"/>
          <w:szCs w:val="24"/>
        </w:rPr>
        <w:t>, Illinois-American Water Company ("IAWC"</w:t>
      </w:r>
      <w:r w:rsidR="006C0AC1">
        <w:rPr>
          <w:rFonts w:ascii="Arial" w:eastAsia="Arial" w:hAnsi="Arial"/>
          <w:sz w:val="24"/>
          <w:szCs w:val="24"/>
        </w:rPr>
        <w:t xml:space="preserve">) </w:t>
      </w:r>
      <w:r w:rsidRPr="00347641">
        <w:rPr>
          <w:rFonts w:ascii="Arial" w:eastAsia="Arial" w:hAnsi="Arial"/>
          <w:sz w:val="24"/>
          <w:szCs w:val="24"/>
        </w:rPr>
        <w:t>filed with the Illinois Commerce Commission ("Commission")</w:t>
      </w:r>
      <w:r w:rsidR="00941E3B">
        <w:rPr>
          <w:rFonts w:ascii="Arial" w:eastAsia="Arial" w:hAnsi="Arial"/>
          <w:sz w:val="24"/>
          <w:szCs w:val="24"/>
        </w:rPr>
        <w:t xml:space="preserve"> </w:t>
      </w:r>
      <w:r w:rsidRPr="00347641">
        <w:rPr>
          <w:rFonts w:ascii="Arial" w:eastAsia="Arial" w:hAnsi="Arial"/>
          <w:sz w:val="24"/>
          <w:szCs w:val="24"/>
        </w:rPr>
        <w:t xml:space="preserve">a verified Application for </w:t>
      </w:r>
      <w:r w:rsidR="0066280B">
        <w:rPr>
          <w:rFonts w:ascii="Arial" w:eastAsia="Arial" w:hAnsi="Arial"/>
          <w:sz w:val="24"/>
          <w:szCs w:val="24"/>
        </w:rPr>
        <w:t>an</w:t>
      </w:r>
      <w:r w:rsidRPr="00347641">
        <w:rPr>
          <w:rFonts w:ascii="Arial" w:eastAsia="Arial" w:hAnsi="Arial"/>
          <w:sz w:val="24"/>
          <w:szCs w:val="24"/>
        </w:rPr>
        <w:t xml:space="preserve"> </w:t>
      </w:r>
      <w:r w:rsidR="0066280B" w:rsidRPr="0066280B">
        <w:rPr>
          <w:rFonts w:ascii="Arial" w:eastAsia="Arial" w:hAnsi="Arial"/>
          <w:sz w:val="24"/>
          <w:szCs w:val="24"/>
        </w:rPr>
        <w:t>order pursuant to Section 8-406 of the Public Utilities Act, 220</w:t>
      </w:r>
      <w:r w:rsidR="0066280B">
        <w:rPr>
          <w:rFonts w:ascii="Arial" w:eastAsia="Arial" w:hAnsi="Arial"/>
          <w:sz w:val="24"/>
          <w:szCs w:val="24"/>
        </w:rPr>
        <w:t xml:space="preserve"> </w:t>
      </w:r>
      <w:r w:rsidR="0066280B" w:rsidRPr="0066280B">
        <w:rPr>
          <w:rFonts w:ascii="Arial" w:eastAsia="Arial" w:hAnsi="Arial"/>
          <w:sz w:val="24"/>
          <w:szCs w:val="24"/>
        </w:rPr>
        <w:t>ILCS 5/</w:t>
      </w:r>
      <w:r w:rsidR="00E26AD6">
        <w:rPr>
          <w:rFonts w:ascii="Arial" w:eastAsia="Arial" w:hAnsi="Arial"/>
          <w:sz w:val="24"/>
          <w:szCs w:val="24"/>
        </w:rPr>
        <w:t>8-406</w:t>
      </w:r>
      <w:r w:rsidR="0066280B" w:rsidRPr="0066280B">
        <w:rPr>
          <w:rFonts w:ascii="Arial" w:eastAsia="Arial" w:hAnsi="Arial"/>
          <w:sz w:val="24"/>
          <w:szCs w:val="24"/>
        </w:rPr>
        <w:t xml:space="preserve"> (the “Act”), issuing a Certificate of Public Convenience and Necessity to IAWC to</w:t>
      </w:r>
      <w:r w:rsidR="0066280B">
        <w:rPr>
          <w:rFonts w:ascii="Arial" w:eastAsia="Arial" w:hAnsi="Arial"/>
          <w:sz w:val="24"/>
          <w:szCs w:val="24"/>
        </w:rPr>
        <w:t xml:space="preserve"> </w:t>
      </w:r>
      <w:r w:rsidR="0066280B" w:rsidRPr="0066280B">
        <w:rPr>
          <w:rFonts w:ascii="Arial" w:eastAsia="Arial" w:hAnsi="Arial"/>
          <w:sz w:val="24"/>
          <w:szCs w:val="24"/>
        </w:rPr>
        <w:t>provide water service to the areas in Champaign County, Illinois, now served by the Village of</w:t>
      </w:r>
      <w:r w:rsidR="0066280B">
        <w:rPr>
          <w:rFonts w:ascii="Arial" w:eastAsia="Arial" w:hAnsi="Arial"/>
          <w:sz w:val="24"/>
          <w:szCs w:val="24"/>
        </w:rPr>
        <w:t xml:space="preserve"> </w:t>
      </w:r>
      <w:r w:rsidR="0066280B" w:rsidRPr="0066280B">
        <w:rPr>
          <w:rFonts w:ascii="Arial" w:eastAsia="Arial" w:hAnsi="Arial"/>
          <w:sz w:val="24"/>
          <w:szCs w:val="24"/>
        </w:rPr>
        <w:t>Sidney</w:t>
      </w:r>
      <w:r w:rsidR="0066280B">
        <w:rPr>
          <w:rFonts w:ascii="Arial" w:eastAsia="Arial" w:hAnsi="Arial"/>
          <w:sz w:val="24"/>
          <w:szCs w:val="24"/>
        </w:rPr>
        <w:t xml:space="preserve">, </w:t>
      </w:r>
      <w:r w:rsidR="0066280B" w:rsidRPr="0066280B">
        <w:rPr>
          <w:rFonts w:ascii="Arial" w:eastAsia="Arial" w:hAnsi="Arial"/>
          <w:sz w:val="24"/>
          <w:szCs w:val="24"/>
        </w:rPr>
        <w:t>an Illinois municipal corporation (“Sidney”), approving the accounting entries to record</w:t>
      </w:r>
      <w:r w:rsidR="0066280B">
        <w:rPr>
          <w:rFonts w:ascii="Arial" w:eastAsia="Arial" w:hAnsi="Arial"/>
          <w:sz w:val="24"/>
          <w:szCs w:val="24"/>
        </w:rPr>
        <w:t xml:space="preserve"> </w:t>
      </w:r>
      <w:r w:rsidR="0066280B" w:rsidRPr="0066280B">
        <w:rPr>
          <w:rFonts w:ascii="Arial" w:eastAsia="Arial" w:hAnsi="Arial"/>
          <w:sz w:val="24"/>
          <w:szCs w:val="24"/>
        </w:rPr>
        <w:t>the transaction, approving the applicable rates and regulations for providing water service</w:t>
      </w:r>
      <w:r w:rsidR="007E4B7C">
        <w:rPr>
          <w:rFonts w:ascii="Arial" w:eastAsia="Arial" w:hAnsi="Arial"/>
          <w:sz w:val="24"/>
          <w:szCs w:val="24"/>
        </w:rPr>
        <w:t xml:space="preserve">, </w:t>
      </w:r>
      <w:r w:rsidR="0066280B" w:rsidRPr="0066280B">
        <w:rPr>
          <w:rFonts w:ascii="Arial" w:eastAsia="Arial" w:hAnsi="Arial"/>
          <w:sz w:val="24"/>
          <w:szCs w:val="24"/>
        </w:rPr>
        <w:t>establishing the water ratemaking rate base of Sidney and the IAWC district or tariff group with</w:t>
      </w:r>
      <w:r w:rsidR="0066280B">
        <w:rPr>
          <w:rFonts w:ascii="Arial" w:eastAsia="Arial" w:hAnsi="Arial"/>
          <w:sz w:val="24"/>
          <w:szCs w:val="24"/>
        </w:rPr>
        <w:t xml:space="preserve"> </w:t>
      </w:r>
      <w:r w:rsidR="0066280B" w:rsidRPr="0066280B">
        <w:rPr>
          <w:rFonts w:ascii="Arial" w:eastAsia="Arial" w:hAnsi="Arial"/>
          <w:sz w:val="24"/>
          <w:szCs w:val="24"/>
        </w:rPr>
        <w:t xml:space="preserve">which Sidney shall be combined for water ratemaking purposes pursuant to </w:t>
      </w:r>
      <w:r w:rsidR="00A042FC" w:rsidRPr="00A042FC">
        <w:rPr>
          <w:rFonts w:ascii="Arial" w:eastAsia="Arial" w:hAnsi="Arial"/>
          <w:sz w:val="24"/>
          <w:szCs w:val="24"/>
        </w:rPr>
        <w:t>Section 9-210.5 of the Act,</w:t>
      </w:r>
      <w:r w:rsidR="00A042FC">
        <w:rPr>
          <w:rFonts w:ascii="Arial" w:eastAsia="Arial" w:hAnsi="Arial"/>
          <w:sz w:val="24"/>
          <w:szCs w:val="24"/>
        </w:rPr>
        <w:t xml:space="preserve"> </w:t>
      </w:r>
      <w:r w:rsidR="0066280B" w:rsidRPr="0066280B">
        <w:rPr>
          <w:rFonts w:ascii="Arial" w:eastAsia="Arial" w:hAnsi="Arial"/>
          <w:sz w:val="24"/>
          <w:szCs w:val="24"/>
        </w:rPr>
        <w:t xml:space="preserve">220 ILCS 5/9-210.5, and approving an Asset Purchase Agreement </w:t>
      </w:r>
      <w:r w:rsidR="00194547">
        <w:rPr>
          <w:rFonts w:ascii="Arial" w:eastAsia="Arial" w:hAnsi="Arial"/>
          <w:sz w:val="24"/>
          <w:szCs w:val="24"/>
        </w:rPr>
        <w:t xml:space="preserve">(“APA”) </w:t>
      </w:r>
      <w:r w:rsidR="0066280B" w:rsidRPr="0066280B">
        <w:rPr>
          <w:rFonts w:ascii="Arial" w:eastAsia="Arial" w:hAnsi="Arial"/>
          <w:sz w:val="24"/>
          <w:szCs w:val="24"/>
        </w:rPr>
        <w:t>entered into</w:t>
      </w:r>
      <w:r w:rsidR="0066280B">
        <w:rPr>
          <w:rFonts w:ascii="Arial" w:eastAsia="Arial" w:hAnsi="Arial"/>
          <w:sz w:val="24"/>
          <w:szCs w:val="24"/>
        </w:rPr>
        <w:t xml:space="preserve"> </w:t>
      </w:r>
      <w:r w:rsidR="0066280B" w:rsidRPr="0066280B">
        <w:rPr>
          <w:rFonts w:ascii="Arial" w:eastAsia="Arial" w:hAnsi="Arial"/>
          <w:sz w:val="24"/>
          <w:szCs w:val="24"/>
        </w:rPr>
        <w:t xml:space="preserve">between IAWC and Sidney. </w:t>
      </w:r>
    </w:p>
    <w:p w14:paraId="3B290008" w14:textId="7AABE3F2" w:rsidR="007E4B7C" w:rsidRDefault="00347641" w:rsidP="007E4B7C">
      <w:pPr>
        <w:widowControl w:val="0"/>
        <w:spacing w:before="69" w:after="0" w:line="240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347641">
        <w:rPr>
          <w:rFonts w:ascii="Arial" w:eastAsia="Arial" w:hAnsi="Arial"/>
          <w:sz w:val="24"/>
          <w:szCs w:val="24"/>
        </w:rPr>
        <w:t xml:space="preserve">Pursuant to due notice, a prehearing conference was held in this matter before a duly authorized Administrative Law Judge </w:t>
      </w:r>
      <w:r w:rsidR="00146A52">
        <w:rPr>
          <w:rFonts w:ascii="Arial" w:eastAsia="Arial" w:hAnsi="Arial"/>
          <w:sz w:val="24"/>
          <w:szCs w:val="24"/>
        </w:rPr>
        <w:t xml:space="preserve">(“ALJ”) </w:t>
      </w:r>
      <w:r w:rsidRPr="00347641">
        <w:rPr>
          <w:rFonts w:ascii="Arial" w:eastAsia="Arial" w:hAnsi="Arial"/>
          <w:sz w:val="24"/>
          <w:szCs w:val="24"/>
        </w:rPr>
        <w:t xml:space="preserve">of the Commission in its offices in Springfield on </w:t>
      </w:r>
      <w:r w:rsidR="000436C4">
        <w:rPr>
          <w:rFonts w:ascii="Arial" w:eastAsia="Arial" w:hAnsi="Arial"/>
          <w:sz w:val="24"/>
          <w:szCs w:val="24"/>
        </w:rPr>
        <w:t xml:space="preserve">July </w:t>
      </w:r>
      <w:r w:rsidR="0066280B">
        <w:rPr>
          <w:rFonts w:ascii="Arial" w:eastAsia="Arial" w:hAnsi="Arial"/>
          <w:sz w:val="24"/>
          <w:szCs w:val="24"/>
        </w:rPr>
        <w:t>31</w:t>
      </w:r>
      <w:r w:rsidR="000436C4">
        <w:rPr>
          <w:rFonts w:ascii="Arial" w:eastAsia="Arial" w:hAnsi="Arial"/>
          <w:sz w:val="24"/>
          <w:szCs w:val="24"/>
        </w:rPr>
        <w:t>, 201</w:t>
      </w:r>
      <w:r w:rsidR="0066280B">
        <w:rPr>
          <w:rFonts w:ascii="Arial" w:eastAsia="Arial" w:hAnsi="Arial"/>
          <w:sz w:val="24"/>
          <w:szCs w:val="24"/>
        </w:rPr>
        <w:t>9</w:t>
      </w:r>
      <w:r w:rsidR="008400C2">
        <w:rPr>
          <w:rFonts w:ascii="Arial" w:eastAsia="Arial" w:hAnsi="Arial"/>
          <w:sz w:val="24"/>
          <w:szCs w:val="24"/>
        </w:rPr>
        <w:t>.</w:t>
      </w:r>
      <w:r w:rsidRPr="00347641">
        <w:rPr>
          <w:rFonts w:ascii="Arial" w:eastAsia="Arial" w:hAnsi="Arial"/>
          <w:sz w:val="24"/>
          <w:szCs w:val="24"/>
        </w:rPr>
        <w:t xml:space="preserve"> </w:t>
      </w:r>
      <w:r w:rsidR="00E26AD6">
        <w:rPr>
          <w:rFonts w:ascii="Arial" w:eastAsia="Arial" w:hAnsi="Arial"/>
          <w:sz w:val="24"/>
          <w:szCs w:val="24"/>
        </w:rPr>
        <w:t xml:space="preserve"> </w:t>
      </w:r>
      <w:r w:rsidRPr="00347641">
        <w:rPr>
          <w:rFonts w:ascii="Arial" w:eastAsia="Arial" w:hAnsi="Arial"/>
          <w:sz w:val="24"/>
          <w:szCs w:val="24"/>
        </w:rPr>
        <w:t xml:space="preserve">Counsel for IAWC and Commission Staff (“Staff”) each entered an appearance. </w:t>
      </w:r>
      <w:r w:rsidR="00E26AD6">
        <w:rPr>
          <w:rFonts w:ascii="Arial" w:eastAsia="Arial" w:hAnsi="Arial"/>
          <w:sz w:val="24"/>
          <w:szCs w:val="24"/>
        </w:rPr>
        <w:t xml:space="preserve"> </w:t>
      </w:r>
      <w:r w:rsidRPr="00347641">
        <w:rPr>
          <w:rFonts w:ascii="Arial" w:eastAsia="Arial" w:hAnsi="Arial"/>
          <w:sz w:val="24"/>
          <w:szCs w:val="24"/>
        </w:rPr>
        <w:t>At the prehearing conference</w:t>
      </w:r>
      <w:r w:rsidR="00517DE7">
        <w:rPr>
          <w:rFonts w:ascii="Arial" w:eastAsia="Arial" w:hAnsi="Arial"/>
          <w:sz w:val="24"/>
          <w:szCs w:val="24"/>
        </w:rPr>
        <w:t>,</w:t>
      </w:r>
      <w:r w:rsidRPr="00347641">
        <w:rPr>
          <w:rFonts w:ascii="Arial" w:eastAsia="Arial" w:hAnsi="Arial"/>
          <w:sz w:val="24"/>
          <w:szCs w:val="24"/>
        </w:rPr>
        <w:t xml:space="preserve"> IAWC and Staff indicated that Staff would be filing a </w:t>
      </w:r>
      <w:r w:rsidR="00000B3E">
        <w:rPr>
          <w:rFonts w:ascii="Arial" w:eastAsia="Arial" w:hAnsi="Arial"/>
          <w:sz w:val="24"/>
          <w:szCs w:val="24"/>
        </w:rPr>
        <w:t>M</w:t>
      </w:r>
      <w:r w:rsidRPr="00347641">
        <w:rPr>
          <w:rFonts w:ascii="Arial" w:eastAsia="Arial" w:hAnsi="Arial"/>
          <w:sz w:val="24"/>
          <w:szCs w:val="24"/>
        </w:rPr>
        <w:t xml:space="preserve">otion for </w:t>
      </w:r>
      <w:r w:rsidR="00000B3E">
        <w:rPr>
          <w:rFonts w:ascii="Arial" w:eastAsia="Arial" w:hAnsi="Arial"/>
          <w:sz w:val="24"/>
          <w:szCs w:val="24"/>
        </w:rPr>
        <w:t>E</w:t>
      </w:r>
      <w:r w:rsidRPr="00347641">
        <w:rPr>
          <w:rFonts w:ascii="Arial" w:eastAsia="Arial" w:hAnsi="Arial"/>
          <w:sz w:val="24"/>
          <w:szCs w:val="24"/>
        </w:rPr>
        <w:t xml:space="preserve">ntry of an </w:t>
      </w:r>
      <w:r w:rsidR="00000B3E">
        <w:rPr>
          <w:rFonts w:ascii="Arial" w:eastAsia="Arial" w:hAnsi="Arial"/>
          <w:sz w:val="24"/>
          <w:szCs w:val="24"/>
        </w:rPr>
        <w:t>A</w:t>
      </w:r>
      <w:r w:rsidRPr="00347641">
        <w:rPr>
          <w:rFonts w:ascii="Arial" w:eastAsia="Arial" w:hAnsi="Arial"/>
          <w:sz w:val="24"/>
          <w:szCs w:val="24"/>
        </w:rPr>
        <w:t xml:space="preserve">greed </w:t>
      </w:r>
      <w:r w:rsidR="00000B3E">
        <w:rPr>
          <w:rFonts w:ascii="Arial" w:eastAsia="Arial" w:hAnsi="Arial"/>
          <w:sz w:val="24"/>
          <w:szCs w:val="24"/>
        </w:rPr>
        <w:t>I</w:t>
      </w:r>
      <w:r w:rsidRPr="00347641">
        <w:rPr>
          <w:rFonts w:ascii="Arial" w:eastAsia="Arial" w:hAnsi="Arial"/>
          <w:sz w:val="24"/>
          <w:szCs w:val="24"/>
        </w:rPr>
        <w:t xml:space="preserve">nterim </w:t>
      </w:r>
      <w:r w:rsidR="00000B3E">
        <w:rPr>
          <w:rFonts w:ascii="Arial" w:eastAsia="Arial" w:hAnsi="Arial"/>
          <w:sz w:val="24"/>
          <w:szCs w:val="24"/>
        </w:rPr>
        <w:t>O</w:t>
      </w:r>
      <w:r w:rsidRPr="00347641">
        <w:rPr>
          <w:rFonts w:ascii="Arial" w:eastAsia="Arial" w:hAnsi="Arial"/>
          <w:sz w:val="24"/>
          <w:szCs w:val="24"/>
        </w:rPr>
        <w:t xml:space="preserve">rder, pursuant to Section 9-210.5 of the Act. </w:t>
      </w:r>
      <w:r w:rsidR="00F21F0E">
        <w:rPr>
          <w:rFonts w:ascii="Arial" w:eastAsia="Arial" w:hAnsi="Arial"/>
          <w:sz w:val="24"/>
          <w:szCs w:val="24"/>
        </w:rPr>
        <w:t xml:space="preserve"> </w:t>
      </w:r>
      <w:r w:rsidRPr="00347641">
        <w:rPr>
          <w:rFonts w:ascii="Arial" w:eastAsia="Arial" w:hAnsi="Arial"/>
          <w:sz w:val="24"/>
          <w:szCs w:val="24"/>
        </w:rPr>
        <w:t xml:space="preserve">Section 9-210.5 of the Act provides an optional procedure for determining fair market value and thence rate base, when a large public utility providing sewer or water services acquires a </w:t>
      </w:r>
      <w:r w:rsidR="000436C4">
        <w:rPr>
          <w:rFonts w:ascii="Arial" w:eastAsia="Arial" w:hAnsi="Arial"/>
          <w:sz w:val="24"/>
          <w:szCs w:val="24"/>
        </w:rPr>
        <w:t>water or sewer utility</w:t>
      </w:r>
      <w:r w:rsidR="006E390F">
        <w:rPr>
          <w:rFonts w:ascii="Arial" w:eastAsia="Arial" w:hAnsi="Arial"/>
          <w:sz w:val="24"/>
          <w:szCs w:val="24"/>
        </w:rPr>
        <w:t xml:space="preserve"> as defined in the Act</w:t>
      </w:r>
      <w:r w:rsidRPr="00347641">
        <w:rPr>
          <w:rFonts w:ascii="Arial" w:eastAsia="Arial" w:hAnsi="Arial"/>
          <w:sz w:val="24"/>
          <w:szCs w:val="24"/>
        </w:rPr>
        <w:t xml:space="preserve">. </w:t>
      </w:r>
      <w:r w:rsidR="00F21F0E">
        <w:rPr>
          <w:rFonts w:ascii="Arial" w:eastAsia="Arial" w:hAnsi="Arial"/>
          <w:sz w:val="24"/>
          <w:szCs w:val="24"/>
        </w:rPr>
        <w:t xml:space="preserve"> </w:t>
      </w:r>
      <w:r w:rsidR="00517DE7">
        <w:rPr>
          <w:rFonts w:ascii="Arial" w:eastAsia="Arial" w:hAnsi="Arial"/>
          <w:sz w:val="24"/>
          <w:szCs w:val="24"/>
        </w:rPr>
        <w:t xml:space="preserve">No other parties have intervened in the docket.  </w:t>
      </w:r>
    </w:p>
    <w:p w14:paraId="6DC8460D" w14:textId="687BEEE8" w:rsidR="00D30FEF" w:rsidRDefault="00347641" w:rsidP="00EE691A">
      <w:pPr>
        <w:spacing w:before="120" w:after="120" w:line="240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347641">
        <w:rPr>
          <w:rFonts w:ascii="Arial" w:eastAsia="Arial" w:hAnsi="Arial"/>
          <w:sz w:val="24"/>
          <w:szCs w:val="24"/>
        </w:rPr>
        <w:t xml:space="preserve">On </w:t>
      </w:r>
      <w:r w:rsidR="007E4B7C">
        <w:rPr>
          <w:rFonts w:ascii="Arial" w:eastAsia="Arial" w:hAnsi="Arial"/>
          <w:sz w:val="24"/>
          <w:szCs w:val="24"/>
        </w:rPr>
        <w:t xml:space="preserve">August </w:t>
      </w:r>
      <w:r w:rsidR="00C34623">
        <w:rPr>
          <w:rFonts w:ascii="Arial" w:eastAsia="Arial" w:hAnsi="Arial"/>
          <w:sz w:val="24"/>
          <w:szCs w:val="24"/>
        </w:rPr>
        <w:t>19</w:t>
      </w:r>
      <w:r w:rsidR="007E4B7C">
        <w:rPr>
          <w:rFonts w:ascii="Arial" w:eastAsia="Arial" w:hAnsi="Arial"/>
          <w:sz w:val="24"/>
          <w:szCs w:val="24"/>
        </w:rPr>
        <w:t>, 2019</w:t>
      </w:r>
      <w:r w:rsidRPr="00347641">
        <w:rPr>
          <w:rFonts w:ascii="Arial" w:eastAsia="Arial" w:hAnsi="Arial"/>
          <w:sz w:val="24"/>
          <w:szCs w:val="24"/>
        </w:rPr>
        <w:t xml:space="preserve">, Staff filed a </w:t>
      </w:r>
      <w:r w:rsidR="00681521" w:rsidRPr="00681521">
        <w:rPr>
          <w:rFonts w:ascii="Arial" w:eastAsia="Arial" w:hAnsi="Arial"/>
          <w:sz w:val="24"/>
          <w:szCs w:val="24"/>
        </w:rPr>
        <w:t>Motion for Entry of Documents into Evidence and Entry of an Agreed Interim Order</w:t>
      </w:r>
      <w:r w:rsidRPr="00347641">
        <w:rPr>
          <w:rFonts w:ascii="Arial" w:eastAsia="Arial" w:hAnsi="Arial"/>
          <w:sz w:val="24"/>
          <w:szCs w:val="24"/>
        </w:rPr>
        <w:t xml:space="preserve">, accompanied </w:t>
      </w:r>
      <w:r w:rsidR="009E6113">
        <w:rPr>
          <w:rFonts w:ascii="Arial" w:eastAsia="Arial" w:hAnsi="Arial"/>
          <w:sz w:val="24"/>
          <w:szCs w:val="24"/>
        </w:rPr>
        <w:t xml:space="preserve">by </w:t>
      </w:r>
      <w:r w:rsidRPr="00347641">
        <w:rPr>
          <w:rFonts w:ascii="Arial" w:eastAsia="Arial" w:hAnsi="Arial"/>
          <w:sz w:val="24"/>
          <w:szCs w:val="24"/>
        </w:rPr>
        <w:t>an Affidavit signed by</w:t>
      </w:r>
      <w:r w:rsidR="00D15C34">
        <w:rPr>
          <w:rFonts w:ascii="Arial" w:eastAsia="Arial" w:hAnsi="Arial"/>
          <w:sz w:val="24"/>
          <w:szCs w:val="24"/>
        </w:rPr>
        <w:t xml:space="preserve"> </w:t>
      </w:r>
      <w:r w:rsidR="000D4CA0">
        <w:rPr>
          <w:rFonts w:ascii="Arial" w:eastAsia="Arial" w:hAnsi="Arial"/>
          <w:sz w:val="24"/>
          <w:szCs w:val="24"/>
        </w:rPr>
        <w:t xml:space="preserve">Jonathan Sperry, a </w:t>
      </w:r>
      <w:r w:rsidR="000D4CA0" w:rsidRPr="000D4CA0">
        <w:rPr>
          <w:rFonts w:ascii="Arial" w:eastAsia="Arial" w:hAnsi="Arial"/>
          <w:sz w:val="24"/>
          <w:szCs w:val="24"/>
        </w:rPr>
        <w:t>Water Engineer in the Water Engineering Program of the Safety and Reliability Division</w:t>
      </w:r>
      <w:r w:rsidRPr="00347641">
        <w:rPr>
          <w:rFonts w:ascii="Arial" w:eastAsia="Arial" w:hAnsi="Arial"/>
          <w:sz w:val="24"/>
          <w:szCs w:val="24"/>
        </w:rPr>
        <w:t>.</w:t>
      </w:r>
      <w:r w:rsidR="007A682F">
        <w:rPr>
          <w:rFonts w:ascii="Arial" w:eastAsia="Arial" w:hAnsi="Arial"/>
          <w:sz w:val="24"/>
          <w:szCs w:val="24"/>
        </w:rPr>
        <w:t xml:space="preserve">  IAWC ha</w:t>
      </w:r>
      <w:r w:rsidR="00440566">
        <w:rPr>
          <w:rFonts w:ascii="Arial" w:eastAsia="Arial" w:hAnsi="Arial"/>
          <w:sz w:val="24"/>
          <w:szCs w:val="24"/>
        </w:rPr>
        <w:t>d</w:t>
      </w:r>
      <w:r w:rsidR="007A682F">
        <w:rPr>
          <w:rFonts w:ascii="Arial" w:eastAsia="Arial" w:hAnsi="Arial"/>
          <w:sz w:val="24"/>
          <w:szCs w:val="24"/>
        </w:rPr>
        <w:t xml:space="preserve"> no objection to entry of the documents into evidence or entry of the </w:t>
      </w:r>
      <w:r w:rsidR="007A682F">
        <w:rPr>
          <w:rFonts w:ascii="Arial" w:eastAsia="Arial" w:hAnsi="Arial"/>
          <w:sz w:val="24"/>
          <w:szCs w:val="24"/>
        </w:rPr>
        <w:lastRenderedPageBreak/>
        <w:t>Interim Order.</w:t>
      </w:r>
      <w:r w:rsidR="00440566">
        <w:rPr>
          <w:rFonts w:ascii="Arial" w:eastAsia="Arial" w:hAnsi="Arial"/>
          <w:sz w:val="24"/>
          <w:szCs w:val="24"/>
        </w:rPr>
        <w:t xml:space="preserve">  On August 20, 2019 the ALJ issued a ruling admitting the </w:t>
      </w:r>
      <w:r w:rsidR="00280F60">
        <w:rPr>
          <w:rFonts w:ascii="Arial" w:eastAsia="Arial" w:hAnsi="Arial"/>
          <w:sz w:val="24"/>
          <w:szCs w:val="24"/>
        </w:rPr>
        <w:t>identified documents into evidence.</w:t>
      </w:r>
    </w:p>
    <w:p w14:paraId="6F015B38" w14:textId="77777777" w:rsidR="00BB6E1F" w:rsidRPr="004973E6" w:rsidRDefault="004973E6" w:rsidP="00EE691A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720" w:right="115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APPRAISER APPROVAL</w:t>
      </w:r>
    </w:p>
    <w:p w14:paraId="2A9743D9" w14:textId="2F54A623" w:rsidR="004973E6" w:rsidRDefault="004973E6" w:rsidP="00EE691A">
      <w:pPr>
        <w:widowControl w:val="0"/>
        <w:spacing w:before="120" w:after="120" w:line="240" w:lineRule="auto"/>
        <w:ind w:right="119" w:firstLine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The Application states that </w:t>
      </w:r>
      <w:r w:rsidR="001B721B" w:rsidRPr="001B721B">
        <w:rPr>
          <w:rFonts w:ascii="Arial" w:eastAsia="Arial" w:hAnsi="Arial"/>
          <w:sz w:val="24"/>
          <w:szCs w:val="24"/>
        </w:rPr>
        <w:t xml:space="preserve">Sidney is a municipal corporation and a body politic located </w:t>
      </w:r>
      <w:r w:rsidR="00194547">
        <w:rPr>
          <w:rFonts w:ascii="Arial" w:eastAsia="Arial" w:hAnsi="Arial"/>
          <w:sz w:val="24"/>
          <w:szCs w:val="24"/>
        </w:rPr>
        <w:t xml:space="preserve">in </w:t>
      </w:r>
      <w:r w:rsidR="001B721B" w:rsidRPr="001B721B">
        <w:rPr>
          <w:rFonts w:ascii="Arial" w:eastAsia="Arial" w:hAnsi="Arial"/>
          <w:sz w:val="24"/>
          <w:szCs w:val="24"/>
        </w:rPr>
        <w:t>Champaign County, Illinois.</w:t>
      </w:r>
      <w:r w:rsidR="007337B2">
        <w:rPr>
          <w:rFonts w:ascii="Arial" w:eastAsia="Arial" w:hAnsi="Arial"/>
          <w:sz w:val="24"/>
          <w:szCs w:val="24"/>
        </w:rPr>
        <w:t xml:space="preserve"> </w:t>
      </w:r>
      <w:r w:rsidR="00842A0C">
        <w:rPr>
          <w:rFonts w:ascii="Arial" w:eastAsia="Arial" w:hAnsi="Arial"/>
          <w:sz w:val="24"/>
          <w:szCs w:val="24"/>
        </w:rPr>
        <w:t xml:space="preserve"> </w:t>
      </w:r>
      <w:r w:rsidR="001B721B" w:rsidRPr="001B721B">
        <w:rPr>
          <w:rFonts w:ascii="Arial" w:eastAsia="Arial" w:hAnsi="Arial"/>
          <w:sz w:val="24"/>
          <w:szCs w:val="24"/>
        </w:rPr>
        <w:t>Sidney currently owns a water distribution system (“Water System”) by which it provides public water service to approximately 560 customer connections, or a population of about 1,210.</w:t>
      </w:r>
      <w:r w:rsidR="00E26AD6">
        <w:rPr>
          <w:rFonts w:ascii="Arial" w:eastAsia="Arial" w:hAnsi="Arial"/>
          <w:sz w:val="24"/>
          <w:szCs w:val="24"/>
        </w:rPr>
        <w:t xml:space="preserve"> </w:t>
      </w:r>
      <w:r w:rsidR="00A72D3A">
        <w:rPr>
          <w:rFonts w:ascii="Arial" w:eastAsia="Arial" w:hAnsi="Arial"/>
          <w:sz w:val="24"/>
          <w:szCs w:val="24"/>
        </w:rPr>
        <w:t xml:space="preserve"> </w:t>
      </w:r>
      <w:r w:rsidR="007337B2">
        <w:rPr>
          <w:rFonts w:ascii="Arial" w:eastAsia="Arial" w:hAnsi="Arial"/>
          <w:sz w:val="24"/>
          <w:szCs w:val="24"/>
        </w:rPr>
        <w:t>Pursuant</w:t>
      </w:r>
      <w:r w:rsidR="00AD12B1" w:rsidRPr="00AD12B1">
        <w:rPr>
          <w:rFonts w:ascii="Arial" w:eastAsia="Arial" w:hAnsi="Arial"/>
          <w:sz w:val="24"/>
          <w:szCs w:val="24"/>
        </w:rPr>
        <w:t xml:space="preserve"> to the APA, and subject to approval of the Commission, IAWC would acquire substantially all of the assets of the</w:t>
      </w:r>
      <w:r w:rsidR="00BB2D35">
        <w:rPr>
          <w:rFonts w:ascii="Arial" w:eastAsia="Arial" w:hAnsi="Arial"/>
          <w:sz w:val="24"/>
          <w:szCs w:val="24"/>
        </w:rPr>
        <w:t xml:space="preserve"> Sidney</w:t>
      </w:r>
      <w:r w:rsidR="00AD12B1" w:rsidRPr="00AD12B1">
        <w:rPr>
          <w:rFonts w:ascii="Arial" w:eastAsia="Arial" w:hAnsi="Arial"/>
          <w:sz w:val="24"/>
          <w:szCs w:val="24"/>
        </w:rPr>
        <w:t xml:space="preserve"> Water System for Two Million Three Hundred Thousand Dollars ($2,300,000.00)</w:t>
      </w:r>
      <w:r w:rsidRPr="004973E6">
        <w:rPr>
          <w:rFonts w:ascii="Arial" w:eastAsia="Arial" w:hAnsi="Arial"/>
          <w:sz w:val="24"/>
          <w:szCs w:val="24"/>
        </w:rPr>
        <w:t>.</w:t>
      </w:r>
    </w:p>
    <w:p w14:paraId="4F8B87C5" w14:textId="78EF57B2" w:rsidR="004973E6" w:rsidRDefault="004973E6" w:rsidP="00EE691A">
      <w:pPr>
        <w:widowControl w:val="0"/>
        <w:spacing w:before="120" w:after="120" w:line="240" w:lineRule="auto"/>
        <w:ind w:right="119" w:firstLine="720"/>
        <w:jc w:val="both"/>
        <w:rPr>
          <w:rFonts w:ascii="Arial" w:eastAsia="Arial" w:hAnsi="Arial"/>
          <w:sz w:val="24"/>
          <w:szCs w:val="24"/>
        </w:rPr>
      </w:pPr>
      <w:r w:rsidRPr="004973E6">
        <w:rPr>
          <w:rFonts w:ascii="Arial" w:eastAsia="Arial" w:hAnsi="Arial"/>
          <w:sz w:val="24"/>
          <w:szCs w:val="24"/>
        </w:rPr>
        <w:t xml:space="preserve">IAWC is a large public utility and the </w:t>
      </w:r>
      <w:r w:rsidR="007337B2">
        <w:rPr>
          <w:rFonts w:ascii="Arial" w:eastAsia="Arial" w:hAnsi="Arial"/>
          <w:sz w:val="24"/>
          <w:szCs w:val="24"/>
        </w:rPr>
        <w:t>Sidney Water</w:t>
      </w:r>
      <w:r w:rsidR="00476299">
        <w:rPr>
          <w:rFonts w:ascii="Arial" w:eastAsia="Arial" w:hAnsi="Arial"/>
          <w:sz w:val="24"/>
          <w:szCs w:val="24"/>
        </w:rPr>
        <w:t xml:space="preserve"> </w:t>
      </w:r>
      <w:r w:rsidRPr="004973E6">
        <w:rPr>
          <w:rFonts w:ascii="Arial" w:eastAsia="Arial" w:hAnsi="Arial"/>
          <w:sz w:val="24"/>
          <w:szCs w:val="24"/>
        </w:rPr>
        <w:t>System</w:t>
      </w:r>
      <w:r w:rsidR="00E33681">
        <w:rPr>
          <w:rFonts w:ascii="Arial" w:eastAsia="Arial" w:hAnsi="Arial"/>
          <w:sz w:val="24"/>
          <w:szCs w:val="24"/>
        </w:rPr>
        <w:t xml:space="preserve"> i</w:t>
      </w:r>
      <w:r w:rsidR="00F025C1">
        <w:rPr>
          <w:rFonts w:ascii="Arial" w:eastAsia="Arial" w:hAnsi="Arial"/>
          <w:sz w:val="24"/>
          <w:szCs w:val="24"/>
        </w:rPr>
        <w:t>s</w:t>
      </w:r>
      <w:r w:rsidRPr="004973E6">
        <w:rPr>
          <w:rFonts w:ascii="Arial" w:eastAsia="Arial" w:hAnsi="Arial"/>
          <w:sz w:val="24"/>
          <w:szCs w:val="24"/>
        </w:rPr>
        <w:t xml:space="preserve"> </w:t>
      </w:r>
      <w:r w:rsidR="00476299">
        <w:rPr>
          <w:rFonts w:ascii="Arial" w:eastAsia="Arial" w:hAnsi="Arial"/>
          <w:sz w:val="24"/>
          <w:szCs w:val="24"/>
        </w:rPr>
        <w:t xml:space="preserve">a </w:t>
      </w:r>
      <w:r w:rsidR="000A48B0">
        <w:rPr>
          <w:rFonts w:ascii="Arial" w:eastAsia="Arial" w:hAnsi="Arial"/>
          <w:sz w:val="24"/>
          <w:szCs w:val="24"/>
        </w:rPr>
        <w:t>municipality</w:t>
      </w:r>
      <w:r w:rsidR="00925715">
        <w:rPr>
          <w:rFonts w:ascii="Arial" w:eastAsia="Arial" w:hAnsi="Arial"/>
          <w:sz w:val="24"/>
          <w:szCs w:val="24"/>
        </w:rPr>
        <w:t>-</w:t>
      </w:r>
      <w:r w:rsidR="000A48B0">
        <w:rPr>
          <w:rFonts w:ascii="Arial" w:eastAsia="Arial" w:hAnsi="Arial"/>
          <w:sz w:val="24"/>
          <w:szCs w:val="24"/>
        </w:rPr>
        <w:t xml:space="preserve">owned </w:t>
      </w:r>
      <w:r w:rsidR="00925715">
        <w:rPr>
          <w:rFonts w:ascii="Arial" w:eastAsia="Arial" w:hAnsi="Arial"/>
          <w:sz w:val="24"/>
          <w:szCs w:val="24"/>
        </w:rPr>
        <w:t>water</w:t>
      </w:r>
      <w:r w:rsidR="00476299">
        <w:rPr>
          <w:rFonts w:ascii="Arial" w:eastAsia="Arial" w:hAnsi="Arial"/>
          <w:sz w:val="24"/>
          <w:szCs w:val="24"/>
        </w:rPr>
        <w:t xml:space="preserve"> </w:t>
      </w:r>
      <w:r w:rsidR="00C4492E">
        <w:rPr>
          <w:rFonts w:ascii="Arial" w:eastAsia="Arial" w:hAnsi="Arial"/>
          <w:sz w:val="24"/>
          <w:szCs w:val="24"/>
        </w:rPr>
        <w:t>system</w:t>
      </w:r>
      <w:r w:rsidR="00476299">
        <w:rPr>
          <w:rFonts w:ascii="Arial" w:eastAsia="Arial" w:hAnsi="Arial"/>
          <w:sz w:val="24"/>
          <w:szCs w:val="24"/>
        </w:rPr>
        <w:t xml:space="preserve"> that regularly provides </w:t>
      </w:r>
      <w:r w:rsidR="00925715">
        <w:rPr>
          <w:rFonts w:ascii="Arial" w:eastAsia="Arial" w:hAnsi="Arial"/>
          <w:sz w:val="24"/>
          <w:szCs w:val="24"/>
        </w:rPr>
        <w:t>water</w:t>
      </w:r>
      <w:r w:rsidR="000A48B0">
        <w:rPr>
          <w:rFonts w:ascii="Arial" w:eastAsia="Arial" w:hAnsi="Arial"/>
          <w:sz w:val="24"/>
          <w:szCs w:val="24"/>
        </w:rPr>
        <w:t xml:space="preserve"> </w:t>
      </w:r>
      <w:r w:rsidR="00476299">
        <w:rPr>
          <w:rFonts w:ascii="Arial" w:eastAsia="Arial" w:hAnsi="Arial"/>
          <w:sz w:val="24"/>
          <w:szCs w:val="24"/>
        </w:rPr>
        <w:t xml:space="preserve">service </w:t>
      </w:r>
      <w:r w:rsidR="00B822E0">
        <w:rPr>
          <w:rFonts w:ascii="Arial" w:eastAsia="Arial" w:hAnsi="Arial"/>
          <w:sz w:val="24"/>
          <w:szCs w:val="24"/>
        </w:rPr>
        <w:t>as provided in Section 9-210.5(a</w:t>
      </w:r>
      <w:r w:rsidRPr="004973E6">
        <w:rPr>
          <w:rFonts w:ascii="Arial" w:eastAsia="Arial" w:hAnsi="Arial"/>
          <w:sz w:val="24"/>
          <w:szCs w:val="24"/>
        </w:rPr>
        <w:t>).</w:t>
      </w:r>
      <w:r w:rsidR="00E26AD6">
        <w:rPr>
          <w:rFonts w:ascii="Arial" w:eastAsia="Arial" w:hAnsi="Arial"/>
          <w:sz w:val="24"/>
          <w:szCs w:val="24"/>
        </w:rPr>
        <w:t xml:space="preserve"> </w:t>
      </w:r>
      <w:r w:rsidRPr="004973E6">
        <w:rPr>
          <w:rFonts w:ascii="Arial" w:eastAsia="Arial" w:hAnsi="Arial"/>
          <w:sz w:val="24"/>
          <w:szCs w:val="24"/>
        </w:rPr>
        <w:t xml:space="preserve"> Section 9-210.5</w:t>
      </w:r>
      <w:r w:rsidR="00B822E0">
        <w:rPr>
          <w:rFonts w:ascii="Arial" w:eastAsia="Arial" w:hAnsi="Arial"/>
          <w:sz w:val="24"/>
          <w:szCs w:val="24"/>
        </w:rPr>
        <w:t>(c)</w:t>
      </w:r>
      <w:r w:rsidRPr="004973E6">
        <w:rPr>
          <w:rFonts w:ascii="Arial" w:eastAsia="Arial" w:hAnsi="Arial"/>
          <w:sz w:val="24"/>
          <w:szCs w:val="24"/>
        </w:rPr>
        <w:t xml:space="preserve"> provides that the fair market value of</w:t>
      </w:r>
      <w:r w:rsidR="00087C75">
        <w:rPr>
          <w:rFonts w:ascii="Arial" w:eastAsia="Arial" w:hAnsi="Arial"/>
          <w:sz w:val="24"/>
          <w:szCs w:val="24"/>
        </w:rPr>
        <w:t xml:space="preserve"> a</w:t>
      </w:r>
      <w:r w:rsidRPr="004973E6">
        <w:rPr>
          <w:rFonts w:ascii="Arial" w:eastAsia="Arial" w:hAnsi="Arial"/>
          <w:sz w:val="24"/>
          <w:szCs w:val="24"/>
        </w:rPr>
        <w:t xml:space="preserve"> water or sewer utility being acquired is determined by averaging three appraisals. </w:t>
      </w:r>
      <w:r w:rsidR="00E26AD6">
        <w:rPr>
          <w:rFonts w:ascii="Arial" w:eastAsia="Arial" w:hAnsi="Arial"/>
          <w:sz w:val="24"/>
          <w:szCs w:val="24"/>
        </w:rPr>
        <w:t xml:space="preserve"> </w:t>
      </w:r>
      <w:r w:rsidRPr="004973E6">
        <w:rPr>
          <w:rFonts w:ascii="Arial" w:eastAsia="Arial" w:hAnsi="Arial"/>
          <w:sz w:val="24"/>
          <w:szCs w:val="24"/>
        </w:rPr>
        <w:t xml:space="preserve">The appraisers are to be </w:t>
      </w:r>
      <w:r w:rsidR="00D97AED">
        <w:rPr>
          <w:rFonts w:ascii="Arial" w:eastAsia="Arial" w:hAnsi="Arial"/>
          <w:sz w:val="24"/>
          <w:szCs w:val="24"/>
        </w:rPr>
        <w:t>approved</w:t>
      </w:r>
      <w:r w:rsidR="00D97AED" w:rsidRPr="004973E6">
        <w:rPr>
          <w:rFonts w:ascii="Arial" w:eastAsia="Arial" w:hAnsi="Arial"/>
          <w:sz w:val="24"/>
          <w:szCs w:val="24"/>
        </w:rPr>
        <w:t xml:space="preserve"> </w:t>
      </w:r>
      <w:r w:rsidRPr="004973E6">
        <w:rPr>
          <w:rFonts w:ascii="Arial" w:eastAsia="Arial" w:hAnsi="Arial"/>
          <w:sz w:val="24"/>
          <w:szCs w:val="24"/>
        </w:rPr>
        <w:t xml:space="preserve">by the Commission's </w:t>
      </w:r>
      <w:r w:rsidR="00B822E0">
        <w:rPr>
          <w:rFonts w:ascii="Arial" w:eastAsia="Arial" w:hAnsi="Arial"/>
          <w:sz w:val="24"/>
          <w:szCs w:val="24"/>
        </w:rPr>
        <w:t>Executive Director or designee</w:t>
      </w:r>
      <w:r w:rsidRPr="004973E6">
        <w:rPr>
          <w:rFonts w:ascii="Arial" w:eastAsia="Arial" w:hAnsi="Arial"/>
          <w:sz w:val="24"/>
          <w:szCs w:val="24"/>
        </w:rPr>
        <w:t xml:space="preserve">. </w:t>
      </w:r>
      <w:r w:rsidR="00E26AD6">
        <w:rPr>
          <w:rFonts w:ascii="Arial" w:eastAsia="Arial" w:hAnsi="Arial"/>
          <w:sz w:val="24"/>
          <w:szCs w:val="24"/>
        </w:rPr>
        <w:t xml:space="preserve"> </w:t>
      </w:r>
      <w:r w:rsidRPr="004973E6">
        <w:rPr>
          <w:rFonts w:ascii="Arial" w:eastAsia="Arial" w:hAnsi="Arial"/>
          <w:sz w:val="24"/>
          <w:szCs w:val="24"/>
        </w:rPr>
        <w:t xml:space="preserve">The appraisers may not have an interest in the matter and must comply with the standards set forth in Subsection 9-210.5(c)(1)-(5). </w:t>
      </w:r>
      <w:r w:rsidR="00E26AD6">
        <w:rPr>
          <w:rFonts w:ascii="Arial" w:eastAsia="Arial" w:hAnsi="Arial"/>
          <w:sz w:val="24"/>
          <w:szCs w:val="24"/>
        </w:rPr>
        <w:t xml:space="preserve"> </w:t>
      </w:r>
      <w:r w:rsidRPr="004973E6">
        <w:rPr>
          <w:rFonts w:ascii="Arial" w:eastAsia="Arial" w:hAnsi="Arial"/>
          <w:sz w:val="24"/>
          <w:szCs w:val="24"/>
        </w:rPr>
        <w:t xml:space="preserve">The appraisers may be engaged by either the buyer or the seller of the water or sewer system. </w:t>
      </w:r>
      <w:r w:rsidR="00E26AD6">
        <w:rPr>
          <w:rFonts w:ascii="Arial" w:eastAsia="Arial" w:hAnsi="Arial"/>
          <w:sz w:val="24"/>
          <w:szCs w:val="24"/>
        </w:rPr>
        <w:t xml:space="preserve"> </w:t>
      </w:r>
      <w:r w:rsidRPr="004973E6">
        <w:rPr>
          <w:rFonts w:ascii="Arial" w:eastAsia="Arial" w:hAnsi="Arial"/>
          <w:sz w:val="24"/>
          <w:szCs w:val="24"/>
        </w:rPr>
        <w:t>Section 9-210.5 of the Act provides that the terms of the engagement must be reasonable and must be approved by the Commission.</w:t>
      </w:r>
    </w:p>
    <w:p w14:paraId="0419DB76" w14:textId="1B4E06C5" w:rsidR="00512C62" w:rsidRDefault="00663F90" w:rsidP="00EE691A">
      <w:pPr>
        <w:widowControl w:val="0"/>
        <w:spacing w:before="120" w:after="120" w:line="240" w:lineRule="auto"/>
        <w:ind w:right="119" w:firstLine="720"/>
        <w:jc w:val="both"/>
        <w:rPr>
          <w:rFonts w:ascii="Arial" w:eastAsia="Arial" w:hAnsi="Arial"/>
          <w:sz w:val="24"/>
          <w:szCs w:val="24"/>
        </w:rPr>
      </w:pPr>
      <w:r w:rsidRPr="00663F90">
        <w:rPr>
          <w:rFonts w:ascii="Arial" w:eastAsia="Arial" w:hAnsi="Arial"/>
          <w:sz w:val="24"/>
          <w:szCs w:val="24"/>
        </w:rPr>
        <w:t xml:space="preserve">In his Affidavit, </w:t>
      </w:r>
      <w:r w:rsidR="007E4B7C">
        <w:rPr>
          <w:rFonts w:ascii="Arial" w:eastAsia="Arial" w:hAnsi="Arial"/>
          <w:sz w:val="24"/>
          <w:szCs w:val="24"/>
        </w:rPr>
        <w:t>Mr. Sperry</w:t>
      </w:r>
      <w:r w:rsidRPr="00663F90">
        <w:rPr>
          <w:rFonts w:ascii="Arial" w:eastAsia="Arial" w:hAnsi="Arial"/>
          <w:sz w:val="24"/>
          <w:szCs w:val="24"/>
        </w:rPr>
        <w:t xml:space="preserve"> recount</w:t>
      </w:r>
      <w:r w:rsidR="002930C8">
        <w:rPr>
          <w:rFonts w:ascii="Arial" w:eastAsia="Arial" w:hAnsi="Arial"/>
          <w:sz w:val="24"/>
          <w:szCs w:val="24"/>
        </w:rPr>
        <w:t>ed</w:t>
      </w:r>
      <w:r w:rsidRPr="00663F90">
        <w:rPr>
          <w:rFonts w:ascii="Arial" w:eastAsia="Arial" w:hAnsi="Arial"/>
          <w:sz w:val="24"/>
          <w:szCs w:val="24"/>
        </w:rPr>
        <w:t xml:space="preserve"> that on </w:t>
      </w:r>
      <w:r w:rsidR="00B822E0">
        <w:rPr>
          <w:rFonts w:ascii="Arial" w:eastAsia="Arial" w:hAnsi="Arial"/>
          <w:sz w:val="24"/>
          <w:szCs w:val="24"/>
        </w:rPr>
        <w:t xml:space="preserve">August </w:t>
      </w:r>
      <w:r w:rsidR="007E4B7C">
        <w:rPr>
          <w:rFonts w:ascii="Arial" w:eastAsia="Arial" w:hAnsi="Arial"/>
          <w:sz w:val="24"/>
          <w:szCs w:val="24"/>
        </w:rPr>
        <w:t>1, 2019</w:t>
      </w:r>
      <w:r w:rsidR="00B822E0">
        <w:rPr>
          <w:rFonts w:ascii="Arial" w:eastAsia="Arial" w:hAnsi="Arial"/>
          <w:sz w:val="24"/>
          <w:szCs w:val="24"/>
        </w:rPr>
        <w:t xml:space="preserve">, </w:t>
      </w:r>
      <w:r w:rsidRPr="00663F90">
        <w:rPr>
          <w:rFonts w:ascii="Arial" w:eastAsia="Arial" w:hAnsi="Arial"/>
          <w:sz w:val="24"/>
          <w:szCs w:val="24"/>
        </w:rPr>
        <w:t xml:space="preserve">he received </w:t>
      </w:r>
      <w:r w:rsidR="006D57E5">
        <w:rPr>
          <w:rFonts w:ascii="Arial" w:eastAsia="Arial" w:hAnsi="Arial"/>
          <w:sz w:val="24"/>
          <w:szCs w:val="24"/>
        </w:rPr>
        <w:t>an e-mail</w:t>
      </w:r>
      <w:r w:rsidRPr="00663F90">
        <w:rPr>
          <w:rFonts w:ascii="Arial" w:eastAsia="Arial" w:hAnsi="Arial"/>
          <w:sz w:val="24"/>
          <w:szCs w:val="24"/>
        </w:rPr>
        <w:t xml:space="preserve"> from IAWC identifying three appraisers –</w:t>
      </w:r>
      <w:r w:rsidR="00B822E0">
        <w:rPr>
          <w:rFonts w:ascii="Arial" w:eastAsia="Arial" w:hAnsi="Arial"/>
          <w:sz w:val="24"/>
          <w:szCs w:val="24"/>
        </w:rPr>
        <w:t xml:space="preserve"> </w:t>
      </w:r>
      <w:r w:rsidR="00B822E0" w:rsidRPr="008400C2">
        <w:rPr>
          <w:rFonts w:ascii="Arial" w:eastAsia="Arial" w:hAnsi="Arial"/>
          <w:sz w:val="24"/>
          <w:szCs w:val="24"/>
        </w:rPr>
        <w:t>Edward J. Batis &amp; Associates, Inc. ("Batis")</w:t>
      </w:r>
      <w:r w:rsidR="00B822E0">
        <w:rPr>
          <w:rFonts w:ascii="Arial" w:eastAsia="Arial" w:hAnsi="Arial"/>
          <w:sz w:val="24"/>
          <w:szCs w:val="24"/>
        </w:rPr>
        <w:t xml:space="preserve">, </w:t>
      </w:r>
      <w:r w:rsidRPr="008400C2">
        <w:rPr>
          <w:rFonts w:ascii="Arial" w:eastAsia="Arial" w:hAnsi="Arial"/>
          <w:sz w:val="24"/>
          <w:szCs w:val="24"/>
        </w:rPr>
        <w:t xml:space="preserve">Goodman Appraisal Consultants, LLC ("Goodman"), and </w:t>
      </w:r>
      <w:r w:rsidR="00B822E0">
        <w:rPr>
          <w:rFonts w:ascii="Arial" w:eastAsia="Arial" w:hAnsi="Arial"/>
          <w:sz w:val="24"/>
          <w:szCs w:val="24"/>
        </w:rPr>
        <w:t>Jay M. Heap &amp; Associates, LTD (“Heap”)</w:t>
      </w:r>
      <w:r w:rsidR="00E26AD6">
        <w:rPr>
          <w:rFonts w:ascii="Arial" w:eastAsia="Arial" w:hAnsi="Arial"/>
          <w:sz w:val="24"/>
          <w:szCs w:val="24"/>
        </w:rPr>
        <w:t xml:space="preserve"> </w:t>
      </w:r>
      <w:r w:rsidRPr="00663F90">
        <w:rPr>
          <w:rFonts w:ascii="Arial" w:eastAsia="Arial" w:hAnsi="Arial"/>
          <w:sz w:val="24"/>
          <w:szCs w:val="24"/>
        </w:rPr>
        <w:t xml:space="preserve">– with whom IAWC proposed to contract to determine the fair market value of the </w:t>
      </w:r>
      <w:r w:rsidR="00842A0C">
        <w:rPr>
          <w:rFonts w:ascii="Arial" w:eastAsia="Arial" w:hAnsi="Arial"/>
          <w:sz w:val="24"/>
          <w:szCs w:val="24"/>
        </w:rPr>
        <w:t xml:space="preserve">Sidney Water </w:t>
      </w:r>
      <w:r w:rsidRPr="00663F90">
        <w:rPr>
          <w:rFonts w:ascii="Arial" w:eastAsia="Arial" w:hAnsi="Arial"/>
          <w:sz w:val="24"/>
          <w:szCs w:val="24"/>
        </w:rPr>
        <w:t xml:space="preserve">System. </w:t>
      </w:r>
      <w:r w:rsidR="00175968">
        <w:rPr>
          <w:rFonts w:ascii="Arial" w:eastAsia="Arial" w:hAnsi="Arial"/>
          <w:sz w:val="24"/>
          <w:szCs w:val="24"/>
        </w:rPr>
        <w:t xml:space="preserve"> </w:t>
      </w:r>
      <w:r w:rsidRPr="00663F90">
        <w:rPr>
          <w:rFonts w:ascii="Arial" w:eastAsia="Arial" w:hAnsi="Arial"/>
          <w:sz w:val="24"/>
          <w:szCs w:val="24"/>
        </w:rPr>
        <w:t xml:space="preserve">Mr. </w:t>
      </w:r>
      <w:r w:rsidR="007E4B7C">
        <w:rPr>
          <w:rFonts w:ascii="Arial" w:eastAsia="Arial" w:hAnsi="Arial"/>
          <w:sz w:val="24"/>
          <w:szCs w:val="24"/>
        </w:rPr>
        <w:t xml:space="preserve">Sperry </w:t>
      </w:r>
      <w:r w:rsidRPr="00663F90">
        <w:rPr>
          <w:rFonts w:ascii="Arial" w:eastAsia="Arial" w:hAnsi="Arial"/>
          <w:sz w:val="24"/>
          <w:szCs w:val="24"/>
        </w:rPr>
        <w:t>attache</w:t>
      </w:r>
      <w:r w:rsidR="002930C8">
        <w:rPr>
          <w:rFonts w:ascii="Arial" w:eastAsia="Arial" w:hAnsi="Arial"/>
          <w:sz w:val="24"/>
          <w:szCs w:val="24"/>
        </w:rPr>
        <w:t>d</w:t>
      </w:r>
      <w:r w:rsidRPr="00663F90">
        <w:rPr>
          <w:rFonts w:ascii="Arial" w:eastAsia="Arial" w:hAnsi="Arial"/>
          <w:sz w:val="24"/>
          <w:szCs w:val="24"/>
        </w:rPr>
        <w:t xml:space="preserve"> a copy of a letter from </w:t>
      </w:r>
      <w:r w:rsidRPr="00213013">
        <w:rPr>
          <w:rFonts w:ascii="Arial" w:eastAsia="Arial" w:hAnsi="Arial"/>
          <w:sz w:val="24"/>
          <w:szCs w:val="24"/>
        </w:rPr>
        <w:t xml:space="preserve">Eric Lounsberry, </w:t>
      </w:r>
      <w:r w:rsidR="00175968">
        <w:rPr>
          <w:rFonts w:ascii="Arial" w:eastAsia="Arial" w:hAnsi="Arial"/>
          <w:sz w:val="24"/>
          <w:szCs w:val="24"/>
        </w:rPr>
        <w:t xml:space="preserve">Director, </w:t>
      </w:r>
      <w:r w:rsidRPr="00213013">
        <w:rPr>
          <w:rFonts w:ascii="Arial" w:eastAsia="Arial" w:hAnsi="Arial"/>
          <w:sz w:val="24"/>
          <w:szCs w:val="24"/>
        </w:rPr>
        <w:t xml:space="preserve">Safety and Reliability Division </w:t>
      </w:r>
      <w:r w:rsidR="00175968">
        <w:rPr>
          <w:rFonts w:ascii="Arial" w:eastAsia="Arial" w:hAnsi="Arial"/>
          <w:sz w:val="24"/>
          <w:szCs w:val="24"/>
        </w:rPr>
        <w:t>of the Commission</w:t>
      </w:r>
      <w:r w:rsidR="00194547">
        <w:rPr>
          <w:rFonts w:ascii="Arial" w:eastAsia="Arial" w:hAnsi="Arial"/>
          <w:sz w:val="24"/>
          <w:szCs w:val="24"/>
        </w:rPr>
        <w:t>,</w:t>
      </w:r>
      <w:r w:rsidR="00175968">
        <w:rPr>
          <w:rFonts w:ascii="Arial" w:eastAsia="Arial" w:hAnsi="Arial"/>
          <w:sz w:val="24"/>
          <w:szCs w:val="24"/>
        </w:rPr>
        <w:t xml:space="preserve"> </w:t>
      </w:r>
      <w:r w:rsidRPr="00213013">
        <w:rPr>
          <w:rFonts w:ascii="Arial" w:eastAsia="Arial" w:hAnsi="Arial"/>
          <w:sz w:val="24"/>
          <w:szCs w:val="24"/>
        </w:rPr>
        <w:t>to IAWC.</w:t>
      </w:r>
      <w:r w:rsidRPr="00663F90">
        <w:rPr>
          <w:rFonts w:ascii="Arial" w:eastAsia="Arial" w:hAnsi="Arial"/>
          <w:sz w:val="24"/>
          <w:szCs w:val="24"/>
        </w:rPr>
        <w:t xml:space="preserve"> </w:t>
      </w:r>
      <w:r w:rsidR="00E26AD6">
        <w:rPr>
          <w:rFonts w:ascii="Arial" w:eastAsia="Arial" w:hAnsi="Arial"/>
          <w:sz w:val="24"/>
          <w:szCs w:val="24"/>
        </w:rPr>
        <w:t xml:space="preserve"> </w:t>
      </w:r>
      <w:r w:rsidRPr="00663F90">
        <w:rPr>
          <w:rFonts w:ascii="Arial" w:eastAsia="Arial" w:hAnsi="Arial"/>
          <w:sz w:val="24"/>
          <w:szCs w:val="24"/>
        </w:rPr>
        <w:t>In the letter, dated</w:t>
      </w:r>
      <w:r w:rsidR="00517DE7">
        <w:rPr>
          <w:rFonts w:ascii="Arial" w:eastAsia="Arial" w:hAnsi="Arial"/>
          <w:sz w:val="24"/>
          <w:szCs w:val="24"/>
        </w:rPr>
        <w:t xml:space="preserve"> </w:t>
      </w:r>
      <w:r w:rsidR="0018245C">
        <w:rPr>
          <w:rFonts w:ascii="Arial" w:eastAsia="Arial" w:hAnsi="Arial"/>
          <w:sz w:val="24"/>
          <w:szCs w:val="24"/>
        </w:rPr>
        <w:t>August 2, 20</w:t>
      </w:r>
      <w:r w:rsidR="00175968">
        <w:rPr>
          <w:rFonts w:ascii="Arial" w:eastAsia="Arial" w:hAnsi="Arial"/>
          <w:sz w:val="24"/>
          <w:szCs w:val="24"/>
        </w:rPr>
        <w:t>1</w:t>
      </w:r>
      <w:r w:rsidR="0018245C">
        <w:rPr>
          <w:rFonts w:ascii="Arial" w:eastAsia="Arial" w:hAnsi="Arial"/>
          <w:sz w:val="24"/>
          <w:szCs w:val="24"/>
        </w:rPr>
        <w:t>9</w:t>
      </w:r>
      <w:r w:rsidR="00175968">
        <w:rPr>
          <w:rFonts w:ascii="Arial" w:eastAsia="Arial" w:hAnsi="Arial"/>
          <w:sz w:val="24"/>
          <w:szCs w:val="24"/>
        </w:rPr>
        <w:t xml:space="preserve">, </w:t>
      </w:r>
      <w:r w:rsidRPr="00663F90">
        <w:rPr>
          <w:rFonts w:ascii="Arial" w:eastAsia="Arial" w:hAnsi="Arial"/>
          <w:sz w:val="24"/>
          <w:szCs w:val="24"/>
        </w:rPr>
        <w:t>Mr. Lounsberry indicate</w:t>
      </w:r>
      <w:r w:rsidR="002930C8">
        <w:rPr>
          <w:rFonts w:ascii="Arial" w:eastAsia="Arial" w:hAnsi="Arial"/>
          <w:sz w:val="24"/>
          <w:szCs w:val="24"/>
        </w:rPr>
        <w:t>d</w:t>
      </w:r>
      <w:r w:rsidRPr="00663F90">
        <w:rPr>
          <w:rFonts w:ascii="Arial" w:eastAsia="Arial" w:hAnsi="Arial"/>
          <w:sz w:val="24"/>
          <w:szCs w:val="24"/>
        </w:rPr>
        <w:t xml:space="preserve"> that to the best of his </w:t>
      </w:r>
      <w:r w:rsidR="00517DE7">
        <w:rPr>
          <w:rFonts w:ascii="Arial" w:eastAsia="Arial" w:hAnsi="Arial"/>
          <w:sz w:val="24"/>
          <w:szCs w:val="24"/>
        </w:rPr>
        <w:t xml:space="preserve">knowledge and </w:t>
      </w:r>
      <w:r w:rsidRPr="00663F90">
        <w:rPr>
          <w:rFonts w:ascii="Arial" w:eastAsia="Arial" w:hAnsi="Arial"/>
          <w:sz w:val="24"/>
          <w:szCs w:val="24"/>
        </w:rPr>
        <w:t>belief</w:t>
      </w:r>
      <w:r w:rsidR="00517DE7">
        <w:rPr>
          <w:rFonts w:ascii="Arial" w:eastAsia="Arial" w:hAnsi="Arial"/>
          <w:sz w:val="24"/>
          <w:szCs w:val="24"/>
        </w:rPr>
        <w:t>,</w:t>
      </w:r>
      <w:r w:rsidRPr="00663F90">
        <w:rPr>
          <w:rFonts w:ascii="Arial" w:eastAsia="Arial" w:hAnsi="Arial"/>
          <w:sz w:val="24"/>
          <w:szCs w:val="24"/>
        </w:rPr>
        <w:t xml:space="preserve"> each of the appraisers, </w:t>
      </w:r>
      <w:r w:rsidR="00175968">
        <w:rPr>
          <w:rFonts w:ascii="Arial" w:eastAsia="Arial" w:hAnsi="Arial"/>
          <w:sz w:val="24"/>
          <w:szCs w:val="24"/>
        </w:rPr>
        <w:t>Batis, Goodman, and Heap</w:t>
      </w:r>
      <w:r w:rsidRPr="00663F90">
        <w:rPr>
          <w:rFonts w:ascii="Arial" w:eastAsia="Arial" w:hAnsi="Arial"/>
          <w:sz w:val="24"/>
          <w:szCs w:val="24"/>
        </w:rPr>
        <w:t xml:space="preserve">, </w:t>
      </w:r>
      <w:r w:rsidR="00D97AED">
        <w:rPr>
          <w:rFonts w:ascii="Arial" w:eastAsia="Arial" w:hAnsi="Arial"/>
          <w:sz w:val="24"/>
          <w:szCs w:val="24"/>
        </w:rPr>
        <w:t>is</w:t>
      </w:r>
      <w:r w:rsidR="00D97AED" w:rsidRPr="00663F90">
        <w:rPr>
          <w:rFonts w:ascii="Arial" w:eastAsia="Arial" w:hAnsi="Arial"/>
          <w:sz w:val="24"/>
          <w:szCs w:val="24"/>
        </w:rPr>
        <w:t xml:space="preserve"> </w:t>
      </w:r>
      <w:r w:rsidRPr="00663F90">
        <w:rPr>
          <w:rFonts w:ascii="Arial" w:eastAsia="Arial" w:hAnsi="Arial"/>
          <w:sz w:val="24"/>
          <w:szCs w:val="24"/>
        </w:rPr>
        <w:t xml:space="preserve">disinterested and </w:t>
      </w:r>
      <w:r w:rsidR="00D97AED">
        <w:rPr>
          <w:rFonts w:ascii="Arial" w:eastAsia="Arial" w:hAnsi="Arial"/>
          <w:sz w:val="24"/>
          <w:szCs w:val="24"/>
        </w:rPr>
        <w:t>is</w:t>
      </w:r>
      <w:r w:rsidR="00D97AED" w:rsidRPr="00663F90">
        <w:rPr>
          <w:rFonts w:ascii="Arial" w:eastAsia="Arial" w:hAnsi="Arial"/>
          <w:sz w:val="24"/>
          <w:szCs w:val="24"/>
        </w:rPr>
        <w:t xml:space="preserve"> </w:t>
      </w:r>
      <w:r w:rsidRPr="00663F90">
        <w:rPr>
          <w:rFonts w:ascii="Arial" w:eastAsia="Arial" w:hAnsi="Arial"/>
          <w:sz w:val="24"/>
          <w:szCs w:val="24"/>
        </w:rPr>
        <w:t>licensed as a State</w:t>
      </w:r>
      <w:r w:rsidR="00D97AED">
        <w:rPr>
          <w:rFonts w:ascii="Arial" w:eastAsia="Arial" w:hAnsi="Arial"/>
          <w:sz w:val="24"/>
          <w:szCs w:val="24"/>
        </w:rPr>
        <w:t>-</w:t>
      </w:r>
      <w:r w:rsidRPr="00663F90">
        <w:rPr>
          <w:rFonts w:ascii="Arial" w:eastAsia="Arial" w:hAnsi="Arial"/>
          <w:sz w:val="24"/>
          <w:szCs w:val="24"/>
        </w:rPr>
        <w:t>certified general real estate appraiser and therefore meet the requirements of Section 9-210</w:t>
      </w:r>
      <w:r w:rsidR="00194547">
        <w:rPr>
          <w:rFonts w:ascii="Arial" w:eastAsia="Arial" w:hAnsi="Arial"/>
          <w:sz w:val="24"/>
          <w:szCs w:val="24"/>
        </w:rPr>
        <w:t>.5</w:t>
      </w:r>
      <w:r w:rsidRPr="00663F90">
        <w:rPr>
          <w:rFonts w:ascii="Arial" w:eastAsia="Arial" w:hAnsi="Arial"/>
          <w:sz w:val="24"/>
          <w:szCs w:val="24"/>
        </w:rPr>
        <w:t>(c) of the Act.</w:t>
      </w:r>
      <w:r w:rsidR="00E26AD6">
        <w:rPr>
          <w:rFonts w:ascii="Arial" w:eastAsia="Arial" w:hAnsi="Arial"/>
          <w:sz w:val="24"/>
          <w:szCs w:val="24"/>
        </w:rPr>
        <w:t xml:space="preserve"> </w:t>
      </w:r>
      <w:r w:rsidRPr="00663F90">
        <w:rPr>
          <w:rFonts w:ascii="Arial" w:eastAsia="Arial" w:hAnsi="Arial"/>
          <w:sz w:val="24"/>
          <w:szCs w:val="24"/>
        </w:rPr>
        <w:t xml:space="preserve"> He indicate</w:t>
      </w:r>
      <w:r w:rsidR="002930C8">
        <w:rPr>
          <w:rFonts w:ascii="Arial" w:eastAsia="Arial" w:hAnsi="Arial"/>
          <w:sz w:val="24"/>
          <w:szCs w:val="24"/>
        </w:rPr>
        <w:t>d</w:t>
      </w:r>
      <w:r w:rsidRPr="00663F90">
        <w:rPr>
          <w:rFonts w:ascii="Arial" w:eastAsia="Arial" w:hAnsi="Arial"/>
          <w:sz w:val="24"/>
          <w:szCs w:val="24"/>
        </w:rPr>
        <w:t xml:space="preserve"> that he approves the three appraisers and directs that the appraisers comply with each of the requirements of Subsection 9-210.5(c)(1)-(5). </w:t>
      </w:r>
    </w:p>
    <w:p w14:paraId="748DC10B" w14:textId="48BCDD7B" w:rsidR="00663F90" w:rsidRDefault="00512C62" w:rsidP="00EE691A">
      <w:pPr>
        <w:widowControl w:val="0"/>
        <w:spacing w:before="120" w:after="120" w:line="240" w:lineRule="auto"/>
        <w:ind w:right="119" w:firstLine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IAWC then provided </w:t>
      </w:r>
      <w:r w:rsidR="00D56CEB">
        <w:rPr>
          <w:rFonts w:ascii="Arial" w:eastAsia="Arial" w:hAnsi="Arial"/>
          <w:sz w:val="24"/>
          <w:szCs w:val="24"/>
        </w:rPr>
        <w:t xml:space="preserve">copies of the contracts </w:t>
      </w:r>
      <w:r w:rsidR="00CC2EBD">
        <w:rPr>
          <w:rFonts w:ascii="Arial" w:eastAsia="Arial" w:hAnsi="Arial"/>
          <w:sz w:val="24"/>
          <w:szCs w:val="24"/>
        </w:rPr>
        <w:t xml:space="preserve">(“Engagement Agreements”) </w:t>
      </w:r>
      <w:r w:rsidR="00D56CEB">
        <w:rPr>
          <w:rFonts w:ascii="Arial" w:eastAsia="Arial" w:hAnsi="Arial"/>
          <w:sz w:val="24"/>
          <w:szCs w:val="24"/>
        </w:rPr>
        <w:t xml:space="preserve">with each of the three appraisers. </w:t>
      </w:r>
      <w:r w:rsidR="00E26AD6">
        <w:rPr>
          <w:rFonts w:ascii="Arial" w:eastAsia="Arial" w:hAnsi="Arial"/>
          <w:sz w:val="24"/>
          <w:szCs w:val="24"/>
        </w:rPr>
        <w:t xml:space="preserve"> </w:t>
      </w:r>
      <w:r w:rsidR="00663F90" w:rsidRPr="00663F90">
        <w:rPr>
          <w:rFonts w:ascii="Arial" w:eastAsia="Arial" w:hAnsi="Arial"/>
          <w:sz w:val="24"/>
          <w:szCs w:val="24"/>
        </w:rPr>
        <w:t xml:space="preserve">Mr. </w:t>
      </w:r>
      <w:r w:rsidR="00195BAA">
        <w:rPr>
          <w:rFonts w:ascii="Arial" w:eastAsia="Arial" w:hAnsi="Arial"/>
          <w:sz w:val="24"/>
          <w:szCs w:val="24"/>
        </w:rPr>
        <w:t>Sperry</w:t>
      </w:r>
      <w:r w:rsidR="008400C2">
        <w:rPr>
          <w:rFonts w:ascii="Arial" w:eastAsia="Arial" w:hAnsi="Arial"/>
          <w:sz w:val="24"/>
          <w:szCs w:val="24"/>
        </w:rPr>
        <w:t xml:space="preserve"> </w:t>
      </w:r>
      <w:r w:rsidR="00663F90" w:rsidRPr="00663F90">
        <w:rPr>
          <w:rFonts w:ascii="Arial" w:eastAsia="Arial" w:hAnsi="Arial"/>
          <w:sz w:val="24"/>
          <w:szCs w:val="24"/>
        </w:rPr>
        <w:t>assert</w:t>
      </w:r>
      <w:r w:rsidR="002930C8">
        <w:rPr>
          <w:rFonts w:ascii="Arial" w:eastAsia="Arial" w:hAnsi="Arial"/>
          <w:sz w:val="24"/>
          <w:szCs w:val="24"/>
        </w:rPr>
        <w:t>ed</w:t>
      </w:r>
      <w:r w:rsidR="00663F90" w:rsidRPr="00663F90">
        <w:rPr>
          <w:rFonts w:ascii="Arial" w:eastAsia="Arial" w:hAnsi="Arial"/>
          <w:sz w:val="24"/>
          <w:szCs w:val="24"/>
        </w:rPr>
        <w:t xml:space="preserve"> that he </w:t>
      </w:r>
      <w:r w:rsidR="00663F90" w:rsidRPr="00F21F0E">
        <w:rPr>
          <w:rFonts w:ascii="Arial" w:eastAsia="Arial" w:hAnsi="Arial"/>
          <w:sz w:val="24"/>
          <w:szCs w:val="24"/>
        </w:rPr>
        <w:t>reviewed the Engagement Agreements and concluded that they are reasonable, and they meet the requirements of Section 9-210.5(c) of the Act</w:t>
      </w:r>
      <w:r w:rsidR="00663F90" w:rsidRPr="00663F90">
        <w:rPr>
          <w:rFonts w:ascii="Arial" w:eastAsia="Arial" w:hAnsi="Arial"/>
          <w:sz w:val="24"/>
          <w:szCs w:val="24"/>
        </w:rPr>
        <w:t>.</w:t>
      </w:r>
      <w:r w:rsidR="00E26AD6">
        <w:rPr>
          <w:rFonts w:ascii="Arial" w:eastAsia="Arial" w:hAnsi="Arial"/>
          <w:sz w:val="24"/>
          <w:szCs w:val="24"/>
        </w:rPr>
        <w:t xml:space="preserve"> </w:t>
      </w:r>
      <w:r w:rsidR="00663F90" w:rsidRPr="00663F90">
        <w:rPr>
          <w:rFonts w:ascii="Arial" w:eastAsia="Arial" w:hAnsi="Arial"/>
          <w:sz w:val="24"/>
          <w:szCs w:val="24"/>
        </w:rPr>
        <w:t xml:space="preserve"> He include</w:t>
      </w:r>
      <w:r w:rsidR="002930C8">
        <w:rPr>
          <w:rFonts w:ascii="Arial" w:eastAsia="Arial" w:hAnsi="Arial"/>
          <w:sz w:val="24"/>
          <w:szCs w:val="24"/>
        </w:rPr>
        <w:t>d</w:t>
      </w:r>
      <w:r w:rsidR="00663F90" w:rsidRPr="00663F90">
        <w:rPr>
          <w:rFonts w:ascii="Arial" w:eastAsia="Arial" w:hAnsi="Arial"/>
          <w:sz w:val="24"/>
          <w:szCs w:val="24"/>
        </w:rPr>
        <w:t xml:space="preserve"> copies of the IAWC letter and Engagement Agreements with his Affidavit. </w:t>
      </w:r>
      <w:r w:rsidR="00E26AD6">
        <w:rPr>
          <w:rFonts w:ascii="Arial" w:eastAsia="Arial" w:hAnsi="Arial"/>
          <w:sz w:val="24"/>
          <w:szCs w:val="24"/>
        </w:rPr>
        <w:t xml:space="preserve"> </w:t>
      </w:r>
      <w:r w:rsidR="00663F90" w:rsidRPr="00663F90">
        <w:rPr>
          <w:rFonts w:ascii="Arial" w:eastAsia="Arial" w:hAnsi="Arial"/>
          <w:sz w:val="24"/>
          <w:szCs w:val="24"/>
        </w:rPr>
        <w:t xml:space="preserve">Mr. </w:t>
      </w:r>
      <w:r w:rsidR="00194547">
        <w:rPr>
          <w:rFonts w:ascii="Arial" w:eastAsia="Arial" w:hAnsi="Arial"/>
          <w:sz w:val="24"/>
          <w:szCs w:val="24"/>
        </w:rPr>
        <w:t xml:space="preserve">Sperry </w:t>
      </w:r>
      <w:r w:rsidR="00663F90" w:rsidRPr="00663F90">
        <w:rPr>
          <w:rFonts w:ascii="Arial" w:eastAsia="Arial" w:hAnsi="Arial"/>
          <w:sz w:val="24"/>
          <w:szCs w:val="24"/>
        </w:rPr>
        <w:t>recommend</w:t>
      </w:r>
      <w:r w:rsidR="002930C8">
        <w:rPr>
          <w:rFonts w:ascii="Arial" w:eastAsia="Arial" w:hAnsi="Arial"/>
          <w:sz w:val="24"/>
          <w:szCs w:val="24"/>
        </w:rPr>
        <w:t>ed</w:t>
      </w:r>
      <w:r w:rsidR="00663F90" w:rsidRPr="00663F90">
        <w:rPr>
          <w:rFonts w:ascii="Arial" w:eastAsia="Arial" w:hAnsi="Arial"/>
          <w:sz w:val="24"/>
          <w:szCs w:val="24"/>
        </w:rPr>
        <w:t xml:space="preserve"> that the Commission issue an Interim Order approving the Engagement Agreements with </w:t>
      </w:r>
      <w:r w:rsidR="00175968">
        <w:rPr>
          <w:rFonts w:ascii="Arial" w:eastAsia="Arial" w:hAnsi="Arial"/>
          <w:sz w:val="24"/>
          <w:szCs w:val="24"/>
        </w:rPr>
        <w:t xml:space="preserve">Batis, </w:t>
      </w:r>
      <w:r w:rsidR="00663F90" w:rsidRPr="008400C2">
        <w:rPr>
          <w:rFonts w:ascii="Arial" w:eastAsia="Arial" w:hAnsi="Arial"/>
          <w:sz w:val="24"/>
          <w:szCs w:val="24"/>
        </w:rPr>
        <w:t xml:space="preserve">Goodman, and </w:t>
      </w:r>
      <w:r w:rsidR="00175968">
        <w:rPr>
          <w:rFonts w:ascii="Arial" w:eastAsia="Arial" w:hAnsi="Arial"/>
          <w:sz w:val="24"/>
          <w:szCs w:val="24"/>
        </w:rPr>
        <w:t>Heap</w:t>
      </w:r>
      <w:r w:rsidR="00663F90" w:rsidRPr="00663F90">
        <w:rPr>
          <w:rFonts w:ascii="Arial" w:eastAsia="Arial" w:hAnsi="Arial"/>
          <w:sz w:val="24"/>
          <w:szCs w:val="24"/>
        </w:rPr>
        <w:t xml:space="preserve">. </w:t>
      </w:r>
    </w:p>
    <w:p w14:paraId="45DCECF6" w14:textId="390B1E9F" w:rsidR="008D65C6" w:rsidRPr="0084307A" w:rsidRDefault="008D65C6" w:rsidP="00EE691A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720" w:right="115"/>
        <w:jc w:val="both"/>
        <w:rPr>
          <w:rFonts w:ascii="Arial" w:eastAsia="Arial" w:hAnsi="Arial"/>
          <w:b/>
          <w:sz w:val="24"/>
          <w:szCs w:val="24"/>
        </w:rPr>
      </w:pPr>
      <w:r w:rsidRPr="0084307A">
        <w:rPr>
          <w:rFonts w:ascii="Arial" w:eastAsia="Arial" w:hAnsi="Arial"/>
          <w:b/>
          <w:sz w:val="24"/>
          <w:szCs w:val="24"/>
        </w:rPr>
        <w:t xml:space="preserve">COMMISSION </w:t>
      </w:r>
      <w:r w:rsidR="00440566">
        <w:rPr>
          <w:rFonts w:ascii="Arial" w:eastAsia="Arial" w:hAnsi="Arial"/>
          <w:b/>
          <w:sz w:val="24"/>
          <w:szCs w:val="24"/>
        </w:rPr>
        <w:t xml:space="preserve">ANALYSIS AND </w:t>
      </w:r>
      <w:r w:rsidRPr="0084307A">
        <w:rPr>
          <w:rFonts w:ascii="Arial" w:eastAsia="Arial" w:hAnsi="Arial"/>
          <w:b/>
          <w:sz w:val="24"/>
          <w:szCs w:val="24"/>
        </w:rPr>
        <w:t>CONCLUSION</w:t>
      </w:r>
    </w:p>
    <w:p w14:paraId="662D87DB" w14:textId="471A2784" w:rsidR="008D65C6" w:rsidRDefault="008D65C6" w:rsidP="00E26AD6">
      <w:pPr>
        <w:spacing w:before="120" w:after="120" w:line="240" w:lineRule="auto"/>
        <w:ind w:right="115" w:firstLine="720"/>
        <w:jc w:val="both"/>
        <w:rPr>
          <w:rFonts w:ascii="Arial" w:eastAsia="Arial" w:hAnsi="Arial"/>
          <w:sz w:val="24"/>
          <w:szCs w:val="24"/>
        </w:rPr>
      </w:pPr>
      <w:r w:rsidRPr="008D65C6">
        <w:rPr>
          <w:rFonts w:ascii="Arial" w:eastAsia="Arial" w:hAnsi="Arial"/>
          <w:sz w:val="24"/>
          <w:szCs w:val="24"/>
        </w:rPr>
        <w:t xml:space="preserve">The Commission has considered the record and the request for approval of the Engagement Agreements with </w:t>
      </w:r>
      <w:r w:rsidR="00175968">
        <w:rPr>
          <w:rFonts w:ascii="Arial" w:eastAsia="Arial" w:hAnsi="Arial"/>
          <w:sz w:val="24"/>
          <w:szCs w:val="24"/>
        </w:rPr>
        <w:t>Batis</w:t>
      </w:r>
      <w:r w:rsidRPr="008400C2">
        <w:rPr>
          <w:rFonts w:ascii="Arial" w:eastAsia="Arial" w:hAnsi="Arial"/>
          <w:sz w:val="24"/>
          <w:szCs w:val="24"/>
        </w:rPr>
        <w:t xml:space="preserve">, Goodman, and </w:t>
      </w:r>
      <w:r w:rsidR="00175968">
        <w:rPr>
          <w:rFonts w:ascii="Arial" w:eastAsia="Arial" w:hAnsi="Arial"/>
          <w:sz w:val="24"/>
          <w:szCs w:val="24"/>
        </w:rPr>
        <w:t>Heap</w:t>
      </w:r>
      <w:r w:rsidRPr="008D65C6">
        <w:rPr>
          <w:rFonts w:ascii="Arial" w:eastAsia="Arial" w:hAnsi="Arial"/>
          <w:sz w:val="24"/>
          <w:szCs w:val="24"/>
        </w:rPr>
        <w:t xml:space="preserve">. </w:t>
      </w:r>
      <w:r w:rsidR="00E26AD6">
        <w:rPr>
          <w:rFonts w:ascii="Arial" w:eastAsia="Arial" w:hAnsi="Arial"/>
          <w:sz w:val="24"/>
          <w:szCs w:val="24"/>
        </w:rPr>
        <w:t xml:space="preserve"> </w:t>
      </w:r>
      <w:r w:rsidRPr="008D65C6">
        <w:rPr>
          <w:rFonts w:ascii="Arial" w:eastAsia="Arial" w:hAnsi="Arial"/>
          <w:sz w:val="24"/>
          <w:szCs w:val="24"/>
        </w:rPr>
        <w:t xml:space="preserve">As recommended by Staff, </w:t>
      </w:r>
      <w:r w:rsidRPr="008D65C6">
        <w:rPr>
          <w:rFonts w:ascii="Arial" w:eastAsia="Arial" w:hAnsi="Arial"/>
          <w:sz w:val="24"/>
          <w:szCs w:val="24"/>
        </w:rPr>
        <w:lastRenderedPageBreak/>
        <w:t>the Commission finds that the terms of the Engagement Agreements are reasonable, and that the Engagement Agreements should be approved.</w:t>
      </w:r>
    </w:p>
    <w:p w14:paraId="0AA525E0" w14:textId="4A1A715B" w:rsidR="008D65C6" w:rsidRPr="0084307A" w:rsidRDefault="008D65C6" w:rsidP="00EE691A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720" w:right="115"/>
        <w:jc w:val="both"/>
        <w:rPr>
          <w:rFonts w:ascii="Arial" w:eastAsia="Arial" w:hAnsi="Arial"/>
          <w:b/>
          <w:sz w:val="24"/>
          <w:szCs w:val="24"/>
        </w:rPr>
      </w:pPr>
      <w:r w:rsidRPr="0084307A">
        <w:rPr>
          <w:rFonts w:ascii="Arial" w:eastAsia="Arial" w:hAnsi="Arial"/>
          <w:b/>
          <w:sz w:val="24"/>
          <w:szCs w:val="24"/>
        </w:rPr>
        <w:t>FINDINGS AND ORDERING PARAGRAPHS</w:t>
      </w:r>
    </w:p>
    <w:p w14:paraId="3C515AE5" w14:textId="77777777" w:rsidR="008D65C6" w:rsidRDefault="008D65C6" w:rsidP="00EE691A">
      <w:pPr>
        <w:widowControl w:val="0"/>
        <w:spacing w:before="120" w:after="120" w:line="240" w:lineRule="auto"/>
        <w:ind w:right="119" w:firstLine="720"/>
        <w:jc w:val="both"/>
        <w:rPr>
          <w:rFonts w:ascii="Arial" w:eastAsia="Arial" w:hAnsi="Arial"/>
          <w:sz w:val="24"/>
          <w:szCs w:val="24"/>
        </w:rPr>
      </w:pPr>
      <w:r w:rsidRPr="008D65C6">
        <w:rPr>
          <w:rFonts w:ascii="Arial" w:eastAsia="Arial" w:hAnsi="Arial"/>
          <w:sz w:val="24"/>
          <w:szCs w:val="24"/>
        </w:rPr>
        <w:t>The Commission, having considered the entire record and being fully advised in the premises, is of the opinion and finds that:</w:t>
      </w:r>
    </w:p>
    <w:p w14:paraId="0A212D65" w14:textId="77777777" w:rsidR="0084307A" w:rsidRPr="0084307A" w:rsidRDefault="008D65C6" w:rsidP="00EE691A">
      <w:pPr>
        <w:pStyle w:val="ListParagraph"/>
        <w:widowControl w:val="0"/>
        <w:numPr>
          <w:ilvl w:val="0"/>
          <w:numId w:val="5"/>
        </w:numPr>
        <w:spacing w:before="120" w:after="120" w:line="240" w:lineRule="auto"/>
        <w:ind w:right="115"/>
        <w:contextualSpacing w:val="0"/>
        <w:jc w:val="both"/>
        <w:rPr>
          <w:rFonts w:ascii="Arial" w:eastAsia="Arial" w:hAnsi="Arial"/>
          <w:sz w:val="24"/>
          <w:szCs w:val="24"/>
        </w:rPr>
      </w:pPr>
      <w:r w:rsidRPr="0084307A">
        <w:rPr>
          <w:rFonts w:ascii="Arial" w:eastAsia="Arial" w:hAnsi="Arial"/>
          <w:sz w:val="24"/>
          <w:szCs w:val="24"/>
        </w:rPr>
        <w:t>Illinois-American Water Company is an Illinois corporation engaged in the business of furnishing water and sanitary sewer service to the public in portions of the State of Illinois and is a public utility within the meaning of Section 3-105 of the Public Utilities Act;</w:t>
      </w:r>
    </w:p>
    <w:p w14:paraId="1D9ABAE1" w14:textId="05780622" w:rsidR="008D65C6" w:rsidRPr="0084307A" w:rsidRDefault="008D65C6" w:rsidP="00EE691A">
      <w:pPr>
        <w:pStyle w:val="ListParagraph"/>
        <w:widowControl w:val="0"/>
        <w:numPr>
          <w:ilvl w:val="0"/>
          <w:numId w:val="5"/>
        </w:numPr>
        <w:spacing w:before="120" w:after="120" w:line="240" w:lineRule="auto"/>
        <w:ind w:right="115"/>
        <w:contextualSpacing w:val="0"/>
        <w:jc w:val="both"/>
        <w:rPr>
          <w:rFonts w:ascii="Arial" w:eastAsia="Arial" w:hAnsi="Arial"/>
          <w:sz w:val="24"/>
          <w:szCs w:val="24"/>
        </w:rPr>
      </w:pPr>
      <w:r w:rsidRPr="0084307A">
        <w:rPr>
          <w:rFonts w:ascii="Arial" w:eastAsia="Arial" w:hAnsi="Arial"/>
          <w:sz w:val="24"/>
          <w:szCs w:val="24"/>
        </w:rPr>
        <w:t xml:space="preserve">the Commission has jurisdiction over </w:t>
      </w:r>
      <w:r w:rsidR="00440566">
        <w:rPr>
          <w:rFonts w:ascii="Arial" w:eastAsia="Arial" w:hAnsi="Arial"/>
          <w:sz w:val="24"/>
          <w:szCs w:val="24"/>
        </w:rPr>
        <w:t>Illinois-American Water Company</w:t>
      </w:r>
      <w:r w:rsidRPr="0084307A">
        <w:rPr>
          <w:rFonts w:ascii="Arial" w:eastAsia="Arial" w:hAnsi="Arial"/>
          <w:sz w:val="24"/>
          <w:szCs w:val="24"/>
        </w:rPr>
        <w:t xml:space="preserve"> and the subject matter </w:t>
      </w:r>
      <w:r w:rsidR="00440566">
        <w:rPr>
          <w:rFonts w:ascii="Arial" w:eastAsia="Arial" w:hAnsi="Arial"/>
          <w:sz w:val="24"/>
          <w:szCs w:val="24"/>
        </w:rPr>
        <w:t>in this proceeding</w:t>
      </w:r>
      <w:r w:rsidRPr="0084307A">
        <w:rPr>
          <w:rFonts w:ascii="Arial" w:eastAsia="Arial" w:hAnsi="Arial"/>
          <w:sz w:val="24"/>
          <w:szCs w:val="24"/>
        </w:rPr>
        <w:t>;</w:t>
      </w:r>
    </w:p>
    <w:p w14:paraId="1FDE2A6E" w14:textId="73B58B1C" w:rsidR="0084307A" w:rsidRPr="0084307A" w:rsidRDefault="008D65C6" w:rsidP="00EE691A">
      <w:pPr>
        <w:pStyle w:val="ListParagraph"/>
        <w:widowControl w:val="0"/>
        <w:numPr>
          <w:ilvl w:val="0"/>
          <w:numId w:val="5"/>
        </w:numPr>
        <w:spacing w:before="120" w:after="120" w:line="240" w:lineRule="auto"/>
        <w:ind w:right="115"/>
        <w:contextualSpacing w:val="0"/>
        <w:jc w:val="both"/>
        <w:rPr>
          <w:rFonts w:ascii="Arial" w:eastAsia="Arial" w:hAnsi="Arial"/>
          <w:sz w:val="24"/>
          <w:szCs w:val="24"/>
        </w:rPr>
      </w:pPr>
      <w:r w:rsidRPr="0084307A">
        <w:rPr>
          <w:rFonts w:ascii="Arial" w:eastAsia="Arial" w:hAnsi="Arial"/>
          <w:sz w:val="24"/>
          <w:szCs w:val="24"/>
        </w:rPr>
        <w:t xml:space="preserve">the </w:t>
      </w:r>
      <w:r w:rsidR="00497EEC">
        <w:rPr>
          <w:rFonts w:ascii="Arial" w:eastAsia="Arial" w:hAnsi="Arial"/>
          <w:sz w:val="24"/>
          <w:szCs w:val="24"/>
        </w:rPr>
        <w:t>recitals of fact set forth</w:t>
      </w:r>
      <w:r w:rsidRPr="0084307A">
        <w:rPr>
          <w:rFonts w:ascii="Arial" w:eastAsia="Arial" w:hAnsi="Arial"/>
          <w:sz w:val="24"/>
          <w:szCs w:val="24"/>
        </w:rPr>
        <w:t xml:space="preserve"> in the prefatory portion of this Order are supported by the record and are hereby adopted as findings of fact;</w:t>
      </w:r>
    </w:p>
    <w:p w14:paraId="2B1F9BFB" w14:textId="77777777" w:rsidR="008D65C6" w:rsidRDefault="0084307A" w:rsidP="00EE691A">
      <w:pPr>
        <w:widowControl w:val="0"/>
        <w:spacing w:before="120" w:after="120" w:line="240" w:lineRule="auto"/>
        <w:ind w:left="1440" w:right="115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(4)</w:t>
      </w:r>
      <w:r>
        <w:rPr>
          <w:rFonts w:ascii="Arial" w:eastAsia="Arial" w:hAnsi="Arial"/>
          <w:sz w:val="24"/>
          <w:szCs w:val="24"/>
        </w:rPr>
        <w:tab/>
      </w:r>
      <w:r w:rsidR="008D65C6" w:rsidRPr="008D65C6">
        <w:rPr>
          <w:rFonts w:ascii="Arial" w:eastAsia="Arial" w:hAnsi="Arial"/>
          <w:sz w:val="24"/>
          <w:szCs w:val="24"/>
        </w:rPr>
        <w:t>the terms of the Engagement Agreements are reasonable within the meaning of Section 9-210.5(c) of the Act;</w:t>
      </w:r>
    </w:p>
    <w:p w14:paraId="4DA084A1" w14:textId="16A6B4E6" w:rsidR="008D65C6" w:rsidRDefault="0084307A" w:rsidP="00EE691A">
      <w:pPr>
        <w:widowControl w:val="0"/>
        <w:spacing w:before="120" w:after="120" w:line="240" w:lineRule="auto"/>
        <w:ind w:left="1440" w:right="115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(5)</w:t>
      </w:r>
      <w:r>
        <w:rPr>
          <w:rFonts w:ascii="Arial" w:eastAsia="Arial" w:hAnsi="Arial"/>
          <w:sz w:val="24"/>
          <w:szCs w:val="24"/>
        </w:rPr>
        <w:tab/>
      </w:r>
      <w:r w:rsidR="008D65C6" w:rsidRPr="008D65C6">
        <w:rPr>
          <w:rFonts w:ascii="Arial" w:eastAsia="Arial" w:hAnsi="Arial"/>
          <w:sz w:val="24"/>
          <w:szCs w:val="24"/>
        </w:rPr>
        <w:t>I</w:t>
      </w:r>
      <w:r w:rsidR="00497EEC">
        <w:rPr>
          <w:rFonts w:ascii="Arial" w:eastAsia="Arial" w:hAnsi="Arial"/>
          <w:sz w:val="24"/>
          <w:szCs w:val="24"/>
        </w:rPr>
        <w:t xml:space="preserve">llinois-American Water Company </w:t>
      </w:r>
      <w:r w:rsidR="008D65C6" w:rsidRPr="008D65C6">
        <w:rPr>
          <w:rFonts w:ascii="Arial" w:eastAsia="Arial" w:hAnsi="Arial"/>
          <w:sz w:val="24"/>
          <w:szCs w:val="24"/>
        </w:rPr>
        <w:t xml:space="preserve">should engage the three appraisers under the terms of the Engagement Agreements and ensure that the appraisers complete appraisals of the </w:t>
      </w:r>
      <w:r w:rsidR="00C47F85">
        <w:rPr>
          <w:rFonts w:ascii="Arial" w:eastAsia="Arial" w:hAnsi="Arial"/>
          <w:sz w:val="24"/>
          <w:szCs w:val="24"/>
        </w:rPr>
        <w:t>Sidney</w:t>
      </w:r>
      <w:r w:rsidR="00175968">
        <w:rPr>
          <w:rFonts w:ascii="Arial" w:eastAsia="Arial" w:hAnsi="Arial"/>
          <w:sz w:val="24"/>
          <w:szCs w:val="24"/>
        </w:rPr>
        <w:t xml:space="preserve"> Wa</w:t>
      </w:r>
      <w:r w:rsidR="00C47F85">
        <w:rPr>
          <w:rFonts w:ascii="Arial" w:eastAsia="Arial" w:hAnsi="Arial"/>
          <w:sz w:val="24"/>
          <w:szCs w:val="24"/>
        </w:rPr>
        <w:t>ter</w:t>
      </w:r>
      <w:r w:rsidR="00175968">
        <w:rPr>
          <w:rFonts w:ascii="Arial" w:eastAsia="Arial" w:hAnsi="Arial"/>
          <w:sz w:val="24"/>
          <w:szCs w:val="24"/>
        </w:rPr>
        <w:t xml:space="preserve"> S</w:t>
      </w:r>
      <w:r w:rsidR="00F025C1">
        <w:rPr>
          <w:rFonts w:ascii="Arial" w:eastAsia="Arial" w:hAnsi="Arial"/>
          <w:sz w:val="24"/>
          <w:szCs w:val="24"/>
        </w:rPr>
        <w:t>ystem</w:t>
      </w:r>
      <w:r w:rsidR="008D65C6" w:rsidRPr="008D65C6">
        <w:rPr>
          <w:rFonts w:ascii="Arial" w:eastAsia="Arial" w:hAnsi="Arial"/>
          <w:sz w:val="24"/>
          <w:szCs w:val="24"/>
        </w:rPr>
        <w:t xml:space="preserve"> in compliance with Subsection 9-210.5(c)(1)-(5) of the Act;</w:t>
      </w:r>
    </w:p>
    <w:p w14:paraId="68503975" w14:textId="14769B9F" w:rsidR="008D65C6" w:rsidRDefault="0084307A" w:rsidP="00EE691A">
      <w:pPr>
        <w:widowControl w:val="0"/>
        <w:spacing w:before="120" w:after="120" w:line="240" w:lineRule="auto"/>
        <w:ind w:left="1440" w:right="115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(6)</w:t>
      </w:r>
      <w:r>
        <w:rPr>
          <w:rFonts w:ascii="Arial" w:eastAsia="Arial" w:hAnsi="Arial"/>
          <w:sz w:val="24"/>
          <w:szCs w:val="24"/>
        </w:rPr>
        <w:tab/>
      </w:r>
      <w:r w:rsidR="008D65C6" w:rsidRPr="008D65C6">
        <w:rPr>
          <w:rFonts w:ascii="Arial" w:eastAsia="Arial" w:hAnsi="Arial"/>
          <w:sz w:val="24"/>
          <w:szCs w:val="24"/>
        </w:rPr>
        <w:t>upon receipt of the appraisers' reports, I</w:t>
      </w:r>
      <w:r w:rsidR="00497EEC">
        <w:rPr>
          <w:rFonts w:ascii="Arial" w:eastAsia="Arial" w:hAnsi="Arial"/>
          <w:sz w:val="24"/>
          <w:szCs w:val="24"/>
        </w:rPr>
        <w:t xml:space="preserve">llinois-American Water Company </w:t>
      </w:r>
      <w:r w:rsidR="008D65C6" w:rsidRPr="008D65C6">
        <w:rPr>
          <w:rFonts w:ascii="Arial" w:eastAsia="Arial" w:hAnsi="Arial"/>
          <w:sz w:val="24"/>
          <w:szCs w:val="24"/>
        </w:rPr>
        <w:t>should provide copies of the reports to Staff in a reasonable time and manner; and</w:t>
      </w:r>
    </w:p>
    <w:p w14:paraId="22847CD4" w14:textId="77777777" w:rsidR="008D65C6" w:rsidRDefault="0084307A" w:rsidP="00EE691A">
      <w:pPr>
        <w:widowControl w:val="0"/>
        <w:spacing w:before="120" w:after="120" w:line="240" w:lineRule="auto"/>
        <w:ind w:left="1440" w:right="115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(7)</w:t>
      </w:r>
      <w:r>
        <w:rPr>
          <w:rFonts w:ascii="Arial" w:eastAsia="Arial" w:hAnsi="Arial"/>
          <w:sz w:val="24"/>
          <w:szCs w:val="24"/>
        </w:rPr>
        <w:tab/>
      </w:r>
      <w:r w:rsidR="008D65C6" w:rsidRPr="008D65C6">
        <w:rPr>
          <w:rFonts w:ascii="Arial" w:eastAsia="Arial" w:hAnsi="Arial"/>
          <w:sz w:val="24"/>
          <w:szCs w:val="24"/>
        </w:rPr>
        <w:t>the record in this proceeding shall remain open for the purpose of taking further evidence on the remaining issues.</w:t>
      </w:r>
    </w:p>
    <w:p w14:paraId="04E48234" w14:textId="585CD25A" w:rsidR="008D65C6" w:rsidRDefault="008D65C6" w:rsidP="00EE691A">
      <w:pPr>
        <w:widowControl w:val="0"/>
        <w:spacing w:before="120" w:after="120" w:line="240" w:lineRule="auto"/>
        <w:ind w:right="119" w:firstLine="720"/>
        <w:jc w:val="both"/>
        <w:rPr>
          <w:rFonts w:ascii="Arial" w:eastAsia="Arial" w:hAnsi="Arial"/>
          <w:sz w:val="24"/>
          <w:szCs w:val="24"/>
        </w:rPr>
      </w:pPr>
      <w:r w:rsidRPr="008D65C6">
        <w:rPr>
          <w:rFonts w:ascii="Arial" w:eastAsia="Arial" w:hAnsi="Arial"/>
          <w:sz w:val="24"/>
          <w:szCs w:val="24"/>
        </w:rPr>
        <w:t xml:space="preserve">IT IS THEREFORE ORDERED by the Illinois Commerce Commission that the terms of the Engagement Agreements are found to be reasonable and are approved for the purposes contemplated in Section 9-210.5 of the </w:t>
      </w:r>
      <w:r w:rsidR="00842A0C" w:rsidRPr="0084307A">
        <w:rPr>
          <w:rFonts w:ascii="Arial" w:eastAsia="Arial" w:hAnsi="Arial"/>
          <w:sz w:val="24"/>
          <w:szCs w:val="24"/>
        </w:rPr>
        <w:t xml:space="preserve">Public Utilities </w:t>
      </w:r>
      <w:r w:rsidRPr="008D65C6">
        <w:rPr>
          <w:rFonts w:ascii="Arial" w:eastAsia="Arial" w:hAnsi="Arial"/>
          <w:sz w:val="24"/>
          <w:szCs w:val="24"/>
        </w:rPr>
        <w:t>Act, subject to the compliance by I</w:t>
      </w:r>
      <w:r w:rsidR="00497EEC">
        <w:rPr>
          <w:rFonts w:ascii="Arial" w:eastAsia="Arial" w:hAnsi="Arial"/>
          <w:sz w:val="24"/>
          <w:szCs w:val="24"/>
        </w:rPr>
        <w:t>llinois-</w:t>
      </w:r>
      <w:r w:rsidRPr="008D65C6">
        <w:rPr>
          <w:rFonts w:ascii="Arial" w:eastAsia="Arial" w:hAnsi="Arial"/>
          <w:sz w:val="24"/>
          <w:szCs w:val="24"/>
        </w:rPr>
        <w:t>A</w:t>
      </w:r>
      <w:r w:rsidR="00497EEC">
        <w:rPr>
          <w:rFonts w:ascii="Arial" w:eastAsia="Arial" w:hAnsi="Arial"/>
          <w:sz w:val="24"/>
          <w:szCs w:val="24"/>
        </w:rPr>
        <w:t xml:space="preserve">merican </w:t>
      </w:r>
      <w:r w:rsidRPr="008D65C6">
        <w:rPr>
          <w:rFonts w:ascii="Arial" w:eastAsia="Arial" w:hAnsi="Arial"/>
          <w:sz w:val="24"/>
          <w:szCs w:val="24"/>
        </w:rPr>
        <w:t>W</w:t>
      </w:r>
      <w:r w:rsidR="00497EEC">
        <w:rPr>
          <w:rFonts w:ascii="Arial" w:eastAsia="Arial" w:hAnsi="Arial"/>
          <w:sz w:val="24"/>
          <w:szCs w:val="24"/>
        </w:rPr>
        <w:t xml:space="preserve">ater </w:t>
      </w:r>
      <w:r w:rsidRPr="008D65C6">
        <w:rPr>
          <w:rFonts w:ascii="Arial" w:eastAsia="Arial" w:hAnsi="Arial"/>
          <w:sz w:val="24"/>
          <w:szCs w:val="24"/>
        </w:rPr>
        <w:t>C</w:t>
      </w:r>
      <w:r w:rsidR="00497EEC">
        <w:rPr>
          <w:rFonts w:ascii="Arial" w:eastAsia="Arial" w:hAnsi="Arial"/>
          <w:sz w:val="24"/>
          <w:szCs w:val="24"/>
        </w:rPr>
        <w:t>ompany</w:t>
      </w:r>
      <w:r w:rsidRPr="008D65C6">
        <w:rPr>
          <w:rFonts w:ascii="Arial" w:eastAsia="Arial" w:hAnsi="Arial"/>
          <w:sz w:val="24"/>
          <w:szCs w:val="24"/>
        </w:rPr>
        <w:t xml:space="preserve"> with the conditions set forth in Findings (5) and (6) above.</w:t>
      </w:r>
    </w:p>
    <w:p w14:paraId="4019EFBE" w14:textId="77777777" w:rsidR="00497EEC" w:rsidRPr="00497EEC" w:rsidRDefault="00497EEC" w:rsidP="00E26AD6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</w:rPr>
      </w:pPr>
      <w:r w:rsidRPr="00497EEC">
        <w:rPr>
          <w:rFonts w:ascii="Arial" w:eastAsia="Times New Roman" w:hAnsi="Arial" w:cs="Times New Roman"/>
          <w:sz w:val="24"/>
          <w:szCs w:val="20"/>
        </w:rPr>
        <w:t>IT IS FURTHER ORDERED that this Order is not final and is not subject to the Administrative Review Law.</w:t>
      </w:r>
    </w:p>
    <w:p w14:paraId="72F0A848" w14:textId="77777777" w:rsidR="00497EEC" w:rsidRPr="00497EEC" w:rsidRDefault="00497EEC" w:rsidP="00EE691A">
      <w:pPr>
        <w:keepNext/>
        <w:keepLine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97EEC">
        <w:rPr>
          <w:rFonts w:ascii="Arial" w:eastAsia="Times New Roman" w:hAnsi="Arial" w:cs="Arial"/>
          <w:sz w:val="24"/>
          <w:szCs w:val="24"/>
        </w:rPr>
        <w:t>By Order of the Commission this 5th day of September, 2019.</w:t>
      </w:r>
    </w:p>
    <w:p w14:paraId="1574BA62" w14:textId="65B3AABC" w:rsidR="00497EEC" w:rsidRDefault="00497EEC" w:rsidP="00EE691A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A9CB95" w14:textId="77777777" w:rsidR="00EE691A" w:rsidRPr="00497EEC" w:rsidRDefault="00EE691A" w:rsidP="00EE691A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A1F0E8E" w14:textId="77777777" w:rsidR="00497EEC" w:rsidRPr="00497EEC" w:rsidRDefault="00497EEC" w:rsidP="00EE691A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7E25F7" w14:textId="77777777" w:rsidR="00497EEC" w:rsidRPr="00497EEC" w:rsidRDefault="00497EEC" w:rsidP="00EE691A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836068" w14:textId="7F7A5E8C" w:rsidR="00497EEC" w:rsidRPr="00497EEC" w:rsidRDefault="00497EEC" w:rsidP="00EE691A">
      <w:pPr>
        <w:keepNext/>
        <w:keepLines/>
        <w:spacing w:after="0" w:line="240" w:lineRule="auto"/>
        <w:ind w:left="43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97EEC">
        <w:rPr>
          <w:rFonts w:ascii="Arial" w:eastAsia="Times New Roman" w:hAnsi="Arial" w:cs="Arial"/>
          <w:sz w:val="24"/>
          <w:szCs w:val="24"/>
        </w:rPr>
        <w:t>(SIGNED) CARRIE ZALEWSKI</w:t>
      </w:r>
    </w:p>
    <w:p w14:paraId="791629EE" w14:textId="77777777" w:rsidR="00497EEC" w:rsidRPr="00497EEC" w:rsidRDefault="00497EEC" w:rsidP="00EE691A">
      <w:pPr>
        <w:keepNext/>
        <w:keepLines/>
        <w:spacing w:after="0" w:line="240" w:lineRule="auto"/>
        <w:ind w:left="4320"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253797C" w14:textId="0FFDD2E1" w:rsidR="00497EEC" w:rsidRPr="00497EEC" w:rsidRDefault="00497EEC" w:rsidP="00EE691A">
      <w:pPr>
        <w:keepNext/>
        <w:keepLines/>
        <w:spacing w:after="0" w:line="240" w:lineRule="auto"/>
        <w:ind w:left="57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97EEC">
        <w:rPr>
          <w:rFonts w:ascii="Arial" w:eastAsia="Times New Roman" w:hAnsi="Arial" w:cs="Arial"/>
          <w:sz w:val="24"/>
          <w:szCs w:val="24"/>
        </w:rPr>
        <w:t>Chairman</w:t>
      </w:r>
    </w:p>
    <w:p w14:paraId="2ABAEB90" w14:textId="702AD0E1" w:rsidR="00E14B37" w:rsidRPr="00B42102" w:rsidRDefault="00E14B37" w:rsidP="00EE691A">
      <w:pPr>
        <w:tabs>
          <w:tab w:val="left" w:pos="4560"/>
        </w:tabs>
        <w:spacing w:after="0"/>
        <w:rPr>
          <w:rFonts w:ascii="Arial" w:hAnsi="Arial" w:cs="Arial"/>
          <w:sz w:val="24"/>
          <w:szCs w:val="24"/>
        </w:rPr>
      </w:pPr>
    </w:p>
    <w:sectPr w:rsidR="00E14B37" w:rsidRPr="00B42102" w:rsidSect="00341D3C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F03F" w14:textId="77777777" w:rsidR="004B7307" w:rsidRDefault="004B7307" w:rsidP="00E14B37">
      <w:pPr>
        <w:spacing w:after="0" w:line="240" w:lineRule="auto"/>
      </w:pPr>
      <w:r>
        <w:separator/>
      </w:r>
    </w:p>
  </w:endnote>
  <w:endnote w:type="continuationSeparator" w:id="0">
    <w:p w14:paraId="74463918" w14:textId="77777777" w:rsidR="004B7307" w:rsidRDefault="004B7307" w:rsidP="00E1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9253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541D17A" w14:textId="42632CFA" w:rsidR="00AE5358" w:rsidRPr="00341D3C" w:rsidRDefault="00AE5358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341D3C">
          <w:rPr>
            <w:rFonts w:ascii="Arial" w:hAnsi="Arial" w:cs="Arial"/>
            <w:sz w:val="24"/>
            <w:szCs w:val="24"/>
          </w:rPr>
          <w:fldChar w:fldCharType="begin"/>
        </w:r>
        <w:r w:rsidRPr="00341D3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41D3C">
          <w:rPr>
            <w:rFonts w:ascii="Arial" w:hAnsi="Arial" w:cs="Arial"/>
            <w:sz w:val="24"/>
            <w:szCs w:val="24"/>
          </w:rPr>
          <w:fldChar w:fldCharType="separate"/>
        </w:r>
        <w:r w:rsidR="001B476D" w:rsidRPr="00341D3C">
          <w:rPr>
            <w:rFonts w:ascii="Arial" w:hAnsi="Arial" w:cs="Arial"/>
            <w:noProof/>
            <w:sz w:val="24"/>
            <w:szCs w:val="24"/>
          </w:rPr>
          <w:t>1</w:t>
        </w:r>
        <w:r w:rsidRPr="00341D3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83173" w14:textId="77777777" w:rsidR="004B7307" w:rsidRDefault="004B7307" w:rsidP="00E14B37">
      <w:pPr>
        <w:spacing w:after="0" w:line="240" w:lineRule="auto"/>
      </w:pPr>
      <w:r>
        <w:separator/>
      </w:r>
    </w:p>
  </w:footnote>
  <w:footnote w:type="continuationSeparator" w:id="0">
    <w:p w14:paraId="7802DE80" w14:textId="77777777" w:rsidR="004B7307" w:rsidRDefault="004B7307" w:rsidP="00E1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6B96F" w14:textId="37C602B8" w:rsidR="00D30FEF" w:rsidRPr="00D30FEF" w:rsidRDefault="00630307" w:rsidP="00341D3C">
    <w:pPr>
      <w:pStyle w:val="Header"/>
      <w:tabs>
        <w:tab w:val="clear" w:pos="9360"/>
        <w:tab w:val="right" w:pos="9990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19-0653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903"/>
    <w:multiLevelType w:val="hybridMultilevel"/>
    <w:tmpl w:val="FE549B1A"/>
    <w:lvl w:ilvl="0" w:tplc="AFF82F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193F"/>
    <w:multiLevelType w:val="multilevel"/>
    <w:tmpl w:val="F3CED7A2"/>
    <w:lvl w:ilvl="0">
      <w:start w:val="210"/>
      <w:numFmt w:val="decimal"/>
      <w:lvlText w:val="%1"/>
      <w:lvlJc w:val="left"/>
      <w:pPr>
        <w:ind w:hanging="668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668"/>
      </w:pPr>
      <w:rPr>
        <w:rFonts w:ascii="Arial" w:eastAsia="Arial" w:hAnsi="Arial" w:hint="default"/>
        <w:spacing w:val="-1"/>
        <w:sz w:val="24"/>
        <w:szCs w:val="24"/>
      </w:rPr>
    </w:lvl>
    <w:lvl w:ilvl="2">
      <w:start w:val="1"/>
      <w:numFmt w:val="decimal"/>
      <w:lvlText w:val="(%3)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5BE2B8E"/>
    <w:multiLevelType w:val="hybridMultilevel"/>
    <w:tmpl w:val="D45425DE"/>
    <w:lvl w:ilvl="0" w:tplc="FE9422A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03C80"/>
    <w:multiLevelType w:val="hybridMultilevel"/>
    <w:tmpl w:val="9432EF0A"/>
    <w:lvl w:ilvl="0" w:tplc="882A3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23C7A"/>
    <w:multiLevelType w:val="hybridMultilevel"/>
    <w:tmpl w:val="B032DF5A"/>
    <w:lvl w:ilvl="0" w:tplc="06D8F930">
      <w:start w:val="1"/>
      <w:numFmt w:val="decimal"/>
      <w:lvlText w:val="(%1)"/>
      <w:lvlJc w:val="left"/>
      <w:pPr>
        <w:ind w:hanging="413"/>
      </w:pPr>
      <w:rPr>
        <w:rFonts w:ascii="Arial" w:eastAsia="Arial" w:hAnsi="Arial" w:hint="default"/>
        <w:sz w:val="24"/>
        <w:szCs w:val="24"/>
      </w:rPr>
    </w:lvl>
    <w:lvl w:ilvl="1" w:tplc="5BD09C1E">
      <w:start w:val="1"/>
      <w:numFmt w:val="bullet"/>
      <w:lvlText w:val="•"/>
      <w:lvlJc w:val="left"/>
      <w:rPr>
        <w:rFonts w:hint="default"/>
      </w:rPr>
    </w:lvl>
    <w:lvl w:ilvl="2" w:tplc="C64E3BD8">
      <w:start w:val="1"/>
      <w:numFmt w:val="bullet"/>
      <w:lvlText w:val="•"/>
      <w:lvlJc w:val="left"/>
      <w:rPr>
        <w:rFonts w:hint="default"/>
      </w:rPr>
    </w:lvl>
    <w:lvl w:ilvl="3" w:tplc="4AF28114">
      <w:start w:val="1"/>
      <w:numFmt w:val="bullet"/>
      <w:lvlText w:val="•"/>
      <w:lvlJc w:val="left"/>
      <w:rPr>
        <w:rFonts w:hint="default"/>
      </w:rPr>
    </w:lvl>
    <w:lvl w:ilvl="4" w:tplc="826E5CD8">
      <w:start w:val="1"/>
      <w:numFmt w:val="bullet"/>
      <w:lvlText w:val="•"/>
      <w:lvlJc w:val="left"/>
      <w:rPr>
        <w:rFonts w:hint="default"/>
      </w:rPr>
    </w:lvl>
    <w:lvl w:ilvl="5" w:tplc="28C442EA">
      <w:start w:val="1"/>
      <w:numFmt w:val="bullet"/>
      <w:lvlText w:val="•"/>
      <w:lvlJc w:val="left"/>
      <w:rPr>
        <w:rFonts w:hint="default"/>
      </w:rPr>
    </w:lvl>
    <w:lvl w:ilvl="6" w:tplc="5F7A4D3C">
      <w:start w:val="1"/>
      <w:numFmt w:val="bullet"/>
      <w:lvlText w:val="•"/>
      <w:lvlJc w:val="left"/>
      <w:rPr>
        <w:rFonts w:hint="default"/>
      </w:rPr>
    </w:lvl>
    <w:lvl w:ilvl="7" w:tplc="5A0C1752">
      <w:start w:val="1"/>
      <w:numFmt w:val="bullet"/>
      <w:lvlText w:val="•"/>
      <w:lvlJc w:val="left"/>
      <w:rPr>
        <w:rFonts w:hint="default"/>
      </w:rPr>
    </w:lvl>
    <w:lvl w:ilvl="8" w:tplc="ED124B3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AE"/>
    <w:rsid w:val="00000B3E"/>
    <w:rsid w:val="0003433E"/>
    <w:rsid w:val="000436C4"/>
    <w:rsid w:val="0007049B"/>
    <w:rsid w:val="0008079F"/>
    <w:rsid w:val="00087C75"/>
    <w:rsid w:val="000A48B0"/>
    <w:rsid w:val="000A48D8"/>
    <w:rsid w:val="000B0400"/>
    <w:rsid w:val="000C7185"/>
    <w:rsid w:val="000D4CA0"/>
    <w:rsid w:val="000D4CBD"/>
    <w:rsid w:val="0013794C"/>
    <w:rsid w:val="00146A52"/>
    <w:rsid w:val="001662F7"/>
    <w:rsid w:val="00175968"/>
    <w:rsid w:val="0018192B"/>
    <w:rsid w:val="0018245C"/>
    <w:rsid w:val="00186E7E"/>
    <w:rsid w:val="001943C4"/>
    <w:rsid w:val="00194547"/>
    <w:rsid w:val="00195BAA"/>
    <w:rsid w:val="001B476D"/>
    <w:rsid w:val="001B721B"/>
    <w:rsid w:val="001C045E"/>
    <w:rsid w:val="001D2F87"/>
    <w:rsid w:val="001D306D"/>
    <w:rsid w:val="001D3386"/>
    <w:rsid w:val="001E0DE4"/>
    <w:rsid w:val="00205CE2"/>
    <w:rsid w:val="00211D92"/>
    <w:rsid w:val="00213013"/>
    <w:rsid w:val="00227575"/>
    <w:rsid w:val="0025382B"/>
    <w:rsid w:val="00264B8A"/>
    <w:rsid w:val="00266B9B"/>
    <w:rsid w:val="00274AA8"/>
    <w:rsid w:val="00280F60"/>
    <w:rsid w:val="00283375"/>
    <w:rsid w:val="00292ECC"/>
    <w:rsid w:val="002930C8"/>
    <w:rsid w:val="002B0FB1"/>
    <w:rsid w:val="002D1823"/>
    <w:rsid w:val="002D395A"/>
    <w:rsid w:val="002E2428"/>
    <w:rsid w:val="002E3831"/>
    <w:rsid w:val="00304CE2"/>
    <w:rsid w:val="00305D39"/>
    <w:rsid w:val="00310400"/>
    <w:rsid w:val="00316FE7"/>
    <w:rsid w:val="00341D3C"/>
    <w:rsid w:val="00342291"/>
    <w:rsid w:val="00347641"/>
    <w:rsid w:val="0037713E"/>
    <w:rsid w:val="0038211C"/>
    <w:rsid w:val="003A1090"/>
    <w:rsid w:val="003D619D"/>
    <w:rsid w:val="003E56E6"/>
    <w:rsid w:val="003F3FD6"/>
    <w:rsid w:val="0040043A"/>
    <w:rsid w:val="0041016D"/>
    <w:rsid w:val="00440310"/>
    <w:rsid w:val="00440566"/>
    <w:rsid w:val="00441470"/>
    <w:rsid w:val="00446665"/>
    <w:rsid w:val="004558D6"/>
    <w:rsid w:val="00462249"/>
    <w:rsid w:val="00476299"/>
    <w:rsid w:val="004909AC"/>
    <w:rsid w:val="004973E6"/>
    <w:rsid w:val="00497EEC"/>
    <w:rsid w:val="004B7307"/>
    <w:rsid w:val="004F023C"/>
    <w:rsid w:val="00507072"/>
    <w:rsid w:val="00512C62"/>
    <w:rsid w:val="005145F9"/>
    <w:rsid w:val="00515E72"/>
    <w:rsid w:val="00517DE7"/>
    <w:rsid w:val="00520586"/>
    <w:rsid w:val="005318A0"/>
    <w:rsid w:val="005325DC"/>
    <w:rsid w:val="00540189"/>
    <w:rsid w:val="00544B03"/>
    <w:rsid w:val="0056155D"/>
    <w:rsid w:val="00571E5B"/>
    <w:rsid w:val="00583CA9"/>
    <w:rsid w:val="00585A08"/>
    <w:rsid w:val="0058747C"/>
    <w:rsid w:val="005C76B8"/>
    <w:rsid w:val="005D13D9"/>
    <w:rsid w:val="00601B36"/>
    <w:rsid w:val="00612784"/>
    <w:rsid w:val="00630307"/>
    <w:rsid w:val="0065519A"/>
    <w:rsid w:val="0066280B"/>
    <w:rsid w:val="00663F90"/>
    <w:rsid w:val="00681521"/>
    <w:rsid w:val="00684D62"/>
    <w:rsid w:val="006950CB"/>
    <w:rsid w:val="00696B3A"/>
    <w:rsid w:val="006C0AC1"/>
    <w:rsid w:val="006C118C"/>
    <w:rsid w:val="006D57E5"/>
    <w:rsid w:val="006E2272"/>
    <w:rsid w:val="006E390F"/>
    <w:rsid w:val="006E6F09"/>
    <w:rsid w:val="006E72FE"/>
    <w:rsid w:val="00706C57"/>
    <w:rsid w:val="00715C6D"/>
    <w:rsid w:val="007337B2"/>
    <w:rsid w:val="00744AB3"/>
    <w:rsid w:val="00750F55"/>
    <w:rsid w:val="00756AEA"/>
    <w:rsid w:val="0076541D"/>
    <w:rsid w:val="007777FF"/>
    <w:rsid w:val="00795B42"/>
    <w:rsid w:val="007A682F"/>
    <w:rsid w:val="007A6D2F"/>
    <w:rsid w:val="007E4B7C"/>
    <w:rsid w:val="007F6FB0"/>
    <w:rsid w:val="00813CD1"/>
    <w:rsid w:val="0082796E"/>
    <w:rsid w:val="008400C2"/>
    <w:rsid w:val="00842A0C"/>
    <w:rsid w:val="0084307A"/>
    <w:rsid w:val="00874B68"/>
    <w:rsid w:val="00884A41"/>
    <w:rsid w:val="008D65C6"/>
    <w:rsid w:val="008D7E98"/>
    <w:rsid w:val="008E363E"/>
    <w:rsid w:val="008E6FF2"/>
    <w:rsid w:val="00915B40"/>
    <w:rsid w:val="00925715"/>
    <w:rsid w:val="00931A6F"/>
    <w:rsid w:val="00937DE8"/>
    <w:rsid w:val="00941E3B"/>
    <w:rsid w:val="0095506F"/>
    <w:rsid w:val="00986DE3"/>
    <w:rsid w:val="009936C0"/>
    <w:rsid w:val="00994189"/>
    <w:rsid w:val="009A1878"/>
    <w:rsid w:val="009A35F7"/>
    <w:rsid w:val="009A4407"/>
    <w:rsid w:val="009B77C5"/>
    <w:rsid w:val="009C335C"/>
    <w:rsid w:val="009E6113"/>
    <w:rsid w:val="009F2D3C"/>
    <w:rsid w:val="00A02F8A"/>
    <w:rsid w:val="00A042FC"/>
    <w:rsid w:val="00A2446F"/>
    <w:rsid w:val="00A27DB7"/>
    <w:rsid w:val="00A46DDB"/>
    <w:rsid w:val="00A63758"/>
    <w:rsid w:val="00A651C8"/>
    <w:rsid w:val="00A72D3A"/>
    <w:rsid w:val="00AB2C2B"/>
    <w:rsid w:val="00AB7C8E"/>
    <w:rsid w:val="00AD12B1"/>
    <w:rsid w:val="00AD3A48"/>
    <w:rsid w:val="00AE5358"/>
    <w:rsid w:val="00AF10AE"/>
    <w:rsid w:val="00B26CD5"/>
    <w:rsid w:val="00B31EC9"/>
    <w:rsid w:val="00B36105"/>
    <w:rsid w:val="00B42102"/>
    <w:rsid w:val="00B54F5D"/>
    <w:rsid w:val="00B75604"/>
    <w:rsid w:val="00B81324"/>
    <w:rsid w:val="00B822E0"/>
    <w:rsid w:val="00B951A5"/>
    <w:rsid w:val="00B954F0"/>
    <w:rsid w:val="00B9752E"/>
    <w:rsid w:val="00BB2D35"/>
    <w:rsid w:val="00BB6E1F"/>
    <w:rsid w:val="00BD365F"/>
    <w:rsid w:val="00BD43EB"/>
    <w:rsid w:val="00BE7767"/>
    <w:rsid w:val="00C0333A"/>
    <w:rsid w:val="00C34623"/>
    <w:rsid w:val="00C4492E"/>
    <w:rsid w:val="00C47F85"/>
    <w:rsid w:val="00C537EC"/>
    <w:rsid w:val="00C72953"/>
    <w:rsid w:val="00C947A9"/>
    <w:rsid w:val="00CA051D"/>
    <w:rsid w:val="00CA7EAF"/>
    <w:rsid w:val="00CB54FE"/>
    <w:rsid w:val="00CC2EBD"/>
    <w:rsid w:val="00CC4FF5"/>
    <w:rsid w:val="00CE05B3"/>
    <w:rsid w:val="00CF0063"/>
    <w:rsid w:val="00CF0A06"/>
    <w:rsid w:val="00D15C34"/>
    <w:rsid w:val="00D30FEF"/>
    <w:rsid w:val="00D44C7E"/>
    <w:rsid w:val="00D50F1A"/>
    <w:rsid w:val="00D515A6"/>
    <w:rsid w:val="00D56CEB"/>
    <w:rsid w:val="00D65D5E"/>
    <w:rsid w:val="00D66CBE"/>
    <w:rsid w:val="00D91B11"/>
    <w:rsid w:val="00D97AED"/>
    <w:rsid w:val="00DB4D67"/>
    <w:rsid w:val="00DD55F3"/>
    <w:rsid w:val="00DE2F88"/>
    <w:rsid w:val="00DF71A0"/>
    <w:rsid w:val="00E14B37"/>
    <w:rsid w:val="00E232AB"/>
    <w:rsid w:val="00E26AD6"/>
    <w:rsid w:val="00E313CE"/>
    <w:rsid w:val="00E33681"/>
    <w:rsid w:val="00E362EA"/>
    <w:rsid w:val="00E40D5B"/>
    <w:rsid w:val="00E45CFA"/>
    <w:rsid w:val="00E51CC0"/>
    <w:rsid w:val="00E6066F"/>
    <w:rsid w:val="00E95863"/>
    <w:rsid w:val="00EE19DF"/>
    <w:rsid w:val="00EE691A"/>
    <w:rsid w:val="00F003BD"/>
    <w:rsid w:val="00F025C1"/>
    <w:rsid w:val="00F06949"/>
    <w:rsid w:val="00F21F0E"/>
    <w:rsid w:val="00F2256D"/>
    <w:rsid w:val="00F50242"/>
    <w:rsid w:val="00F52636"/>
    <w:rsid w:val="00F62C2D"/>
    <w:rsid w:val="00F74B5E"/>
    <w:rsid w:val="00F94493"/>
    <w:rsid w:val="00FA36EB"/>
    <w:rsid w:val="00FD169A"/>
    <w:rsid w:val="00FE08DE"/>
    <w:rsid w:val="00FE13D1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C68C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3E6"/>
  </w:style>
  <w:style w:type="paragraph" w:styleId="Heading1">
    <w:name w:val="heading 1"/>
    <w:basedOn w:val="Normal"/>
    <w:link w:val="Heading1Char"/>
    <w:uiPriority w:val="1"/>
    <w:qFormat/>
    <w:rsid w:val="008D7E98"/>
    <w:pPr>
      <w:widowControl w:val="0"/>
      <w:spacing w:after="0" w:line="240" w:lineRule="auto"/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39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DefaultParagraphFont"/>
    <w:rsid w:val="0013794C"/>
    <w:rPr>
      <w:rFonts w:ascii="Arial" w:hAnsi="Arial" w:cs="Arial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1"/>
    <w:qFormat/>
    <w:rsid w:val="00E36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B40"/>
  </w:style>
  <w:style w:type="paragraph" w:styleId="Footer">
    <w:name w:val="footer"/>
    <w:basedOn w:val="Normal"/>
    <w:link w:val="FooterChar"/>
    <w:uiPriority w:val="99"/>
    <w:unhideWhenUsed/>
    <w:rsid w:val="0091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40"/>
  </w:style>
  <w:style w:type="character" w:customStyle="1" w:styleId="cosearchterm7">
    <w:name w:val="co_searchterm7"/>
    <w:basedOn w:val="DefaultParagraphFont"/>
    <w:rsid w:val="000B0400"/>
    <w:rPr>
      <w:b/>
      <w:bCs/>
      <w:color w:val="252525"/>
    </w:rPr>
  </w:style>
  <w:style w:type="character" w:styleId="CommentReference">
    <w:name w:val="annotation reference"/>
    <w:basedOn w:val="DefaultParagraphFont"/>
    <w:uiPriority w:val="99"/>
    <w:semiHidden/>
    <w:unhideWhenUsed/>
    <w:rsid w:val="00655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9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D7E98"/>
    <w:rPr>
      <w:rFonts w:ascii="Arial" w:eastAsia="Arial" w:hAnsi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D7E98"/>
  </w:style>
  <w:style w:type="paragraph" w:styleId="BodyText">
    <w:name w:val="Body Text"/>
    <w:basedOn w:val="Normal"/>
    <w:link w:val="BodyTextChar"/>
    <w:uiPriority w:val="1"/>
    <w:qFormat/>
    <w:rsid w:val="008D7E98"/>
    <w:pPr>
      <w:widowControl w:val="0"/>
      <w:spacing w:after="0" w:line="240" w:lineRule="auto"/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7E98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D7E98"/>
    <w:pPr>
      <w:widowControl w:val="0"/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318A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3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55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9075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87439">
                                          <w:marLeft w:val="1087"/>
                                          <w:marRight w:val="10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9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66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8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5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3A3E30D43554CBC8294042BB053D4" ma:contentTypeVersion="8" ma:contentTypeDescription="Create a new document." ma:contentTypeScope="" ma:versionID="de8f53fdeaed08f5ec7dbd6b2d881f97">
  <xsd:schema xmlns:xsd="http://www.w3.org/2001/XMLSchema" xmlns:xs="http://www.w3.org/2001/XMLSchema" xmlns:p="http://schemas.microsoft.com/office/2006/metadata/properties" xmlns:ns2="2ac3f9f7-b8ea-4e1a-83bd-75d90c7a9f71" xmlns:ns3="a75ff5b6-cc32-4eb7-8493-e0a3b271c3fa" targetNamespace="http://schemas.microsoft.com/office/2006/metadata/properties" ma:root="true" ma:fieldsID="1c882d77fbc94c5e82ffffb1acf7bef1" ns2:_="" ns3:_="">
    <xsd:import namespace="2ac3f9f7-b8ea-4e1a-83bd-75d90c7a9f71"/>
    <xsd:import namespace="a75ff5b6-cc32-4eb7-8493-e0a3b271c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3f9f7-b8ea-4e1a-83bd-75d90c7a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ff5b6-cc32-4eb7-8493-e0a3b271c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415E-41FC-445E-812B-3CBA1F5F27C0}">
  <ds:schemaRefs>
    <ds:schemaRef ds:uri="a75ff5b6-cc32-4eb7-8493-e0a3b271c3f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ac3f9f7-b8ea-4e1a-83bd-75d90c7a9f7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E90E83-6FCA-432C-B245-410E04F81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27B05-8A8A-4542-A704-6C755AA8A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3f9f7-b8ea-4e1a-83bd-75d90c7a9f71"/>
    <ds:schemaRef ds:uri="a75ff5b6-cc32-4eb7-8493-e0a3b271c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4A76F-AD81-4B79-A35A-7360AE1A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6350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2019-08-21T14:55:00Z</dcterms:created>
  <dcterms:modified xsi:type="dcterms:W3CDTF">2019-08-28T19:11:00Z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0x0101006E93A3E30D43554CBC8294042BB053D4</vt:lpwstr>
  </property>
</Properties>
</file>